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853D2" w14:textId="5DCE19CF" w:rsidR="00E203C2" w:rsidRDefault="00E203C2" w:rsidP="00E203C2">
      <w:bookmarkStart w:id="0" w:name="_GoBack"/>
      <w:bookmarkEnd w:id="0"/>
      <w:r>
        <w:rPr>
          <w:noProof/>
          <w:lang w:eastAsia="en-GB" w:bidi="ar-SA"/>
        </w:rPr>
        <w:drawing>
          <wp:inline distT="0" distB="0" distL="0" distR="0" wp14:anchorId="1C985541" wp14:editId="46C10E1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C9853D3" w14:textId="77777777" w:rsidR="00E203C2" w:rsidRDefault="00E203C2" w:rsidP="00E203C2"/>
    <w:p w14:paraId="40FEBE4E" w14:textId="77777777" w:rsidR="007D7B06" w:rsidRDefault="007D7B06" w:rsidP="007D7B06">
      <w:pPr>
        <w:rPr>
          <w:b/>
          <w:sz w:val="28"/>
          <w:szCs w:val="28"/>
        </w:rPr>
      </w:pPr>
      <w:r>
        <w:rPr>
          <w:b/>
          <w:sz w:val="28"/>
          <w:szCs w:val="28"/>
        </w:rPr>
        <w:t>19 August 2016</w:t>
      </w:r>
    </w:p>
    <w:p w14:paraId="07D79A98" w14:textId="77777777" w:rsidR="007D7B06" w:rsidRDefault="007D7B06" w:rsidP="007D7B06">
      <w:pPr>
        <w:rPr>
          <w:b/>
          <w:sz w:val="28"/>
          <w:szCs w:val="28"/>
        </w:rPr>
      </w:pPr>
      <w:r>
        <w:rPr>
          <w:b/>
          <w:sz w:val="28"/>
          <w:szCs w:val="28"/>
        </w:rPr>
        <w:t>[21–16]</w:t>
      </w:r>
    </w:p>
    <w:p w14:paraId="1C9853D6" w14:textId="77777777" w:rsidR="00BA24E2" w:rsidRDefault="00BA24E2" w:rsidP="00E203C2"/>
    <w:p w14:paraId="1C9853D7" w14:textId="77777777" w:rsidR="00D056F1" w:rsidRPr="002933AF" w:rsidRDefault="000427B2" w:rsidP="002432EE">
      <w:pPr>
        <w:pStyle w:val="FSTitle"/>
        <w:rPr>
          <w:b/>
          <w:color w:val="000000" w:themeColor="text1"/>
        </w:rPr>
      </w:pPr>
      <w:r w:rsidRPr="002933AF">
        <w:rPr>
          <w:b/>
          <w:color w:val="000000" w:themeColor="text1"/>
        </w:rPr>
        <w:t>C</w:t>
      </w:r>
      <w:r w:rsidR="00D8470F" w:rsidRPr="002933AF">
        <w:rPr>
          <w:b/>
          <w:color w:val="000000" w:themeColor="text1"/>
        </w:rPr>
        <w:t>all</w:t>
      </w:r>
      <w:r w:rsidRPr="002933AF">
        <w:rPr>
          <w:b/>
          <w:color w:val="000000" w:themeColor="text1"/>
        </w:rPr>
        <w:t xml:space="preserve"> </w:t>
      </w:r>
      <w:r w:rsidR="00D8470F" w:rsidRPr="002933AF">
        <w:rPr>
          <w:b/>
          <w:color w:val="000000" w:themeColor="text1"/>
        </w:rPr>
        <w:t>for</w:t>
      </w:r>
      <w:r w:rsidRPr="002933AF">
        <w:rPr>
          <w:b/>
          <w:color w:val="000000" w:themeColor="text1"/>
        </w:rPr>
        <w:t xml:space="preserve"> </w:t>
      </w:r>
      <w:r w:rsidR="00D8470F" w:rsidRPr="002933AF">
        <w:rPr>
          <w:b/>
          <w:color w:val="000000" w:themeColor="text1"/>
        </w:rPr>
        <w:t>submissions</w:t>
      </w:r>
      <w:r w:rsidRPr="002933AF">
        <w:rPr>
          <w:b/>
          <w:color w:val="000000" w:themeColor="text1"/>
        </w:rPr>
        <w:t xml:space="preserve"> – </w:t>
      </w:r>
      <w:r w:rsidR="00D056F1" w:rsidRPr="002933AF">
        <w:rPr>
          <w:b/>
          <w:color w:val="000000" w:themeColor="text1"/>
        </w:rPr>
        <w:t>A</w:t>
      </w:r>
      <w:r w:rsidR="00A91DF1" w:rsidRPr="002933AF">
        <w:rPr>
          <w:b/>
          <w:color w:val="000000" w:themeColor="text1"/>
        </w:rPr>
        <w:t>pplication</w:t>
      </w:r>
      <w:r w:rsidR="003511FE" w:rsidRPr="002933AF">
        <w:rPr>
          <w:b/>
          <w:color w:val="000000" w:themeColor="text1"/>
        </w:rPr>
        <w:t xml:space="preserve"> A1128</w:t>
      </w:r>
      <w:r w:rsidR="003511FE" w:rsidRPr="002933AF">
        <w:rPr>
          <w:color w:val="000000" w:themeColor="text1"/>
        </w:rPr>
        <w:t xml:space="preserve"> </w:t>
      </w:r>
    </w:p>
    <w:p w14:paraId="1C9853D8" w14:textId="77777777" w:rsidR="00E203C2" w:rsidRPr="002933AF" w:rsidRDefault="00E203C2" w:rsidP="00E203C2">
      <w:pPr>
        <w:rPr>
          <w:color w:val="000000" w:themeColor="text1"/>
        </w:rPr>
      </w:pPr>
    </w:p>
    <w:p w14:paraId="1C9853D9" w14:textId="77777777" w:rsidR="003511FE" w:rsidRPr="002933AF" w:rsidRDefault="003511FE" w:rsidP="003511FE">
      <w:pPr>
        <w:pStyle w:val="FSTitle"/>
        <w:rPr>
          <w:color w:val="000000" w:themeColor="text1"/>
        </w:rPr>
      </w:pPr>
      <w:r w:rsidRPr="002933AF">
        <w:rPr>
          <w:color w:val="000000" w:themeColor="text1"/>
        </w:rPr>
        <w:t>Food derived from reduced Acrylamide Potential &amp; Browning Potato Line E12</w:t>
      </w:r>
    </w:p>
    <w:p w14:paraId="1C9853DA" w14:textId="77777777" w:rsidR="00E203C2" w:rsidRPr="002933AF" w:rsidRDefault="00E203C2" w:rsidP="00E203C2">
      <w:pPr>
        <w:pBdr>
          <w:bottom w:val="single" w:sz="12" w:space="1" w:color="auto"/>
        </w:pBdr>
        <w:spacing w:line="280" w:lineRule="exact"/>
        <w:rPr>
          <w:rFonts w:cs="Arial"/>
          <w:bCs/>
          <w:color w:val="000000" w:themeColor="text1"/>
        </w:rPr>
      </w:pPr>
    </w:p>
    <w:p w14:paraId="1C9853DB" w14:textId="77777777" w:rsidR="00E203C2" w:rsidRPr="002933AF" w:rsidRDefault="00E203C2" w:rsidP="00E203C2">
      <w:pPr>
        <w:rPr>
          <w:color w:val="000000" w:themeColor="text1"/>
        </w:rPr>
      </w:pPr>
    </w:p>
    <w:p w14:paraId="1C9853DC" w14:textId="77777777" w:rsidR="00E063C6" w:rsidRPr="007D7B06" w:rsidRDefault="00E063C6" w:rsidP="00E203C2">
      <w:pPr>
        <w:rPr>
          <w:color w:val="000000" w:themeColor="text1"/>
          <w:sz w:val="20"/>
          <w:szCs w:val="20"/>
        </w:rPr>
      </w:pPr>
      <w:r w:rsidRPr="002933AF">
        <w:rPr>
          <w:color w:val="000000" w:themeColor="text1"/>
          <w:sz w:val="20"/>
          <w:szCs w:val="20"/>
        </w:rPr>
        <w:t xml:space="preserve">FSANZ </w:t>
      </w:r>
      <w:r w:rsidR="00D81D38" w:rsidRPr="002933AF">
        <w:rPr>
          <w:color w:val="000000" w:themeColor="text1"/>
          <w:sz w:val="20"/>
          <w:szCs w:val="20"/>
        </w:rPr>
        <w:t>has assessed an A</w:t>
      </w:r>
      <w:r w:rsidR="00351B07" w:rsidRPr="002933AF">
        <w:rPr>
          <w:color w:val="000000" w:themeColor="text1"/>
          <w:sz w:val="20"/>
          <w:szCs w:val="20"/>
        </w:rPr>
        <w:t xml:space="preserve">pplication made by </w:t>
      </w:r>
      <w:r w:rsidR="000218D5" w:rsidRPr="002933AF">
        <w:rPr>
          <w:color w:val="000000" w:themeColor="text1"/>
          <w:sz w:val="20"/>
          <w:szCs w:val="20"/>
        </w:rPr>
        <w:t>SPS International Inc to seek approval for food derived from a genetically modified potato line, E12</w:t>
      </w:r>
      <w:r w:rsidR="00E349B8" w:rsidRPr="002933AF">
        <w:rPr>
          <w:color w:val="000000" w:themeColor="text1"/>
          <w:sz w:val="20"/>
          <w:szCs w:val="20"/>
        </w:rPr>
        <w:t>,</w:t>
      </w:r>
      <w:r w:rsidR="000218D5" w:rsidRPr="002933AF">
        <w:rPr>
          <w:color w:val="000000" w:themeColor="text1"/>
          <w:sz w:val="20"/>
          <w:szCs w:val="20"/>
        </w:rPr>
        <w:t xml:space="preserve"> which has reduced acrylamide potential and reduced browning (blackspot bruise). A draft food regulatory</w:t>
      </w:r>
      <w:r w:rsidR="000218D5" w:rsidRPr="002933AF">
        <w:rPr>
          <w:color w:val="000000" w:themeColor="text1"/>
        </w:rPr>
        <w:t xml:space="preserve"> </w:t>
      </w:r>
      <w:r w:rsidR="00D8470F" w:rsidRPr="002933AF">
        <w:rPr>
          <w:color w:val="000000" w:themeColor="text1"/>
          <w:sz w:val="20"/>
          <w:szCs w:val="20"/>
        </w:rPr>
        <w:t>measure</w:t>
      </w:r>
      <w:r w:rsidR="000218D5" w:rsidRPr="002933AF">
        <w:rPr>
          <w:color w:val="000000" w:themeColor="text1"/>
          <w:sz w:val="20"/>
          <w:szCs w:val="20"/>
        </w:rPr>
        <w:t xml:space="preserve"> has been prepared</w:t>
      </w:r>
      <w:r w:rsidR="00351B07" w:rsidRPr="002933AF">
        <w:rPr>
          <w:color w:val="000000" w:themeColor="text1"/>
          <w:sz w:val="20"/>
          <w:szCs w:val="20"/>
        </w:rPr>
        <w:t xml:space="preserve">. </w:t>
      </w:r>
      <w:r w:rsidR="00D22F3C" w:rsidRPr="002933AF">
        <w:rPr>
          <w:color w:val="000000" w:themeColor="text1"/>
          <w:sz w:val="20"/>
          <w:szCs w:val="20"/>
        </w:rPr>
        <w:t xml:space="preserve">Pursuant to section 31 of the </w:t>
      </w:r>
      <w:r w:rsidR="00D22F3C" w:rsidRPr="002933AF">
        <w:rPr>
          <w:i/>
          <w:color w:val="000000" w:themeColor="text1"/>
          <w:sz w:val="20"/>
          <w:szCs w:val="20"/>
        </w:rPr>
        <w:t>Food Standard</w:t>
      </w:r>
      <w:r w:rsidR="00E203C2" w:rsidRPr="002933AF">
        <w:rPr>
          <w:i/>
          <w:color w:val="000000" w:themeColor="text1"/>
          <w:sz w:val="20"/>
          <w:szCs w:val="20"/>
        </w:rPr>
        <w:t>s Australia New Zealand Act 1991</w:t>
      </w:r>
      <w:r w:rsidR="00D22F3C" w:rsidRPr="002933AF">
        <w:rPr>
          <w:i/>
          <w:color w:val="000000" w:themeColor="text1"/>
          <w:sz w:val="20"/>
          <w:szCs w:val="20"/>
        </w:rPr>
        <w:t xml:space="preserve"> </w:t>
      </w:r>
      <w:r w:rsidR="00E203C2" w:rsidRPr="002933AF">
        <w:rPr>
          <w:color w:val="000000" w:themeColor="text1"/>
          <w:sz w:val="20"/>
          <w:szCs w:val="20"/>
        </w:rPr>
        <w:t>(</w:t>
      </w:r>
      <w:r w:rsidR="00D22F3C" w:rsidRPr="002933AF">
        <w:rPr>
          <w:color w:val="000000" w:themeColor="text1"/>
          <w:sz w:val="20"/>
          <w:szCs w:val="20"/>
        </w:rPr>
        <w:t>FSANZ Act), FSANZ now c</w:t>
      </w:r>
      <w:r w:rsidR="00E203C2" w:rsidRPr="002933AF">
        <w:rPr>
          <w:color w:val="000000" w:themeColor="text1"/>
          <w:sz w:val="20"/>
          <w:szCs w:val="20"/>
        </w:rPr>
        <w:t xml:space="preserve">alls for </w:t>
      </w:r>
      <w:r w:rsidR="00E203C2" w:rsidRPr="007D7B06">
        <w:rPr>
          <w:color w:val="000000" w:themeColor="text1"/>
          <w:sz w:val="20"/>
          <w:szCs w:val="20"/>
        </w:rPr>
        <w:t xml:space="preserve">submissions to assist consideration of the </w:t>
      </w:r>
      <w:r w:rsidR="00413CA8" w:rsidRPr="007D7B06">
        <w:rPr>
          <w:color w:val="000000" w:themeColor="text1"/>
          <w:sz w:val="20"/>
          <w:szCs w:val="20"/>
        </w:rPr>
        <w:t xml:space="preserve">draft </w:t>
      </w:r>
      <w:r w:rsidR="00D8470F" w:rsidRPr="007D7B06">
        <w:rPr>
          <w:color w:val="000000" w:themeColor="text1"/>
          <w:sz w:val="20"/>
          <w:szCs w:val="20"/>
        </w:rPr>
        <w:t>food regulatory measure</w:t>
      </w:r>
      <w:r w:rsidR="00D22F3C" w:rsidRPr="007D7B06">
        <w:rPr>
          <w:color w:val="000000" w:themeColor="text1"/>
          <w:sz w:val="20"/>
          <w:szCs w:val="20"/>
        </w:rPr>
        <w:t>.</w:t>
      </w:r>
      <w:r w:rsidR="003511FE" w:rsidRPr="007D7B06">
        <w:rPr>
          <w:color w:val="000000" w:themeColor="text1"/>
          <w:sz w:val="20"/>
          <w:szCs w:val="20"/>
        </w:rPr>
        <w:t xml:space="preserve"> </w:t>
      </w:r>
    </w:p>
    <w:p w14:paraId="1C9853DD" w14:textId="77777777" w:rsidR="00413CA8" w:rsidRPr="007D7B06" w:rsidRDefault="00413CA8" w:rsidP="00E203C2">
      <w:pPr>
        <w:rPr>
          <w:color w:val="000000" w:themeColor="text1"/>
          <w:sz w:val="20"/>
          <w:szCs w:val="20"/>
        </w:rPr>
      </w:pPr>
    </w:p>
    <w:p w14:paraId="1C9853DE" w14:textId="77777777" w:rsidR="00351B07" w:rsidRPr="007D7B06" w:rsidRDefault="00A91DF1" w:rsidP="00E203C2">
      <w:pPr>
        <w:rPr>
          <w:color w:val="000000" w:themeColor="text1"/>
          <w:sz w:val="20"/>
          <w:szCs w:val="20"/>
        </w:rPr>
      </w:pPr>
      <w:r w:rsidRPr="007D7B06">
        <w:rPr>
          <w:color w:val="000000" w:themeColor="text1"/>
          <w:sz w:val="20"/>
          <w:szCs w:val="20"/>
        </w:rPr>
        <w:t>Fo</w:t>
      </w:r>
      <w:r w:rsidR="00AD22F9" w:rsidRPr="007D7B06">
        <w:rPr>
          <w:color w:val="000000" w:themeColor="text1"/>
          <w:sz w:val="20"/>
          <w:szCs w:val="20"/>
        </w:rPr>
        <w:t>r</w:t>
      </w:r>
      <w:r w:rsidRPr="007D7B06">
        <w:rPr>
          <w:color w:val="000000" w:themeColor="text1"/>
          <w:sz w:val="20"/>
          <w:szCs w:val="20"/>
        </w:rPr>
        <w:t xml:space="preserve"> </w:t>
      </w:r>
      <w:r w:rsidR="00091CC2" w:rsidRPr="007D7B06">
        <w:rPr>
          <w:color w:val="000000" w:themeColor="text1"/>
          <w:sz w:val="20"/>
          <w:szCs w:val="20"/>
        </w:rPr>
        <w:t xml:space="preserve">information about </w:t>
      </w:r>
      <w:r w:rsidR="00BA24E2" w:rsidRPr="007D7B06">
        <w:rPr>
          <w:color w:val="000000" w:themeColor="text1"/>
          <w:sz w:val="20"/>
          <w:szCs w:val="20"/>
        </w:rPr>
        <w:t>making a</w:t>
      </w:r>
      <w:r w:rsidR="00351B07" w:rsidRPr="007D7B06">
        <w:rPr>
          <w:color w:val="000000" w:themeColor="text1"/>
          <w:sz w:val="20"/>
          <w:szCs w:val="20"/>
        </w:rPr>
        <w:t xml:space="preserve"> submission</w:t>
      </w:r>
      <w:r w:rsidRPr="007D7B06">
        <w:rPr>
          <w:color w:val="000000" w:themeColor="text1"/>
          <w:sz w:val="20"/>
          <w:szCs w:val="20"/>
        </w:rPr>
        <w:t>, visit</w:t>
      </w:r>
      <w:r w:rsidR="00351B07" w:rsidRPr="007D7B06">
        <w:rPr>
          <w:color w:val="000000" w:themeColor="text1"/>
          <w:sz w:val="20"/>
          <w:szCs w:val="20"/>
        </w:rPr>
        <w:t xml:space="preserve"> the FSANZ website at</w:t>
      </w:r>
      <w:r w:rsidR="00AD22F9" w:rsidRPr="007D7B06">
        <w:rPr>
          <w:color w:val="000000" w:themeColor="text1"/>
          <w:sz w:val="20"/>
          <w:szCs w:val="20"/>
        </w:rPr>
        <w:t xml:space="preserve"> </w:t>
      </w:r>
      <w:hyperlink r:id="rId10" w:history="1">
        <w:r w:rsidR="00C56F71" w:rsidRPr="007D7B06">
          <w:rPr>
            <w:rStyle w:val="Hyperlink"/>
            <w:sz w:val="20"/>
            <w:szCs w:val="20"/>
          </w:rPr>
          <w:t>information for submitters</w:t>
        </w:r>
      </w:hyperlink>
      <w:r w:rsidR="00351B07" w:rsidRPr="007D7B06">
        <w:rPr>
          <w:color w:val="000000" w:themeColor="text1"/>
          <w:sz w:val="20"/>
          <w:szCs w:val="20"/>
        </w:rPr>
        <w:t>.</w:t>
      </w:r>
    </w:p>
    <w:p w14:paraId="1C9853DF" w14:textId="77777777" w:rsidR="00D81D38" w:rsidRPr="007D7B06" w:rsidRDefault="00D81D38" w:rsidP="00276026">
      <w:pPr>
        <w:rPr>
          <w:color w:val="000000" w:themeColor="text1"/>
          <w:sz w:val="20"/>
          <w:szCs w:val="20"/>
        </w:rPr>
      </w:pPr>
    </w:p>
    <w:p w14:paraId="1C9853E0" w14:textId="77777777" w:rsidR="00276026" w:rsidRPr="007D7B06" w:rsidRDefault="00276026" w:rsidP="00AC74CB">
      <w:pPr>
        <w:ind w:right="-428"/>
        <w:rPr>
          <w:color w:val="000000" w:themeColor="text1"/>
          <w:sz w:val="20"/>
          <w:szCs w:val="20"/>
        </w:rPr>
      </w:pPr>
      <w:r w:rsidRPr="007D7B06">
        <w:rPr>
          <w:color w:val="000000" w:themeColor="text1"/>
          <w:sz w:val="20"/>
          <w:szCs w:val="20"/>
        </w:rPr>
        <w:t>All submissions on applications and proposals will be published on our website. We</w:t>
      </w:r>
      <w:r w:rsidR="00094BEA" w:rsidRPr="007D7B06">
        <w:rPr>
          <w:color w:val="000000" w:themeColor="text1"/>
          <w:sz w:val="20"/>
          <w:szCs w:val="20"/>
        </w:rPr>
        <w:t xml:space="preserve"> will not publish material that</w:t>
      </w:r>
      <w:r w:rsidR="00901EF6" w:rsidRPr="007D7B06">
        <w:rPr>
          <w:color w:val="000000" w:themeColor="text1"/>
          <w:sz w:val="20"/>
          <w:szCs w:val="20"/>
        </w:rPr>
        <w:t xml:space="preserve"> we accept as confidential</w:t>
      </w:r>
      <w:r w:rsidRPr="007D7B06">
        <w:rPr>
          <w:color w:val="000000" w:themeColor="text1"/>
          <w:sz w:val="20"/>
          <w:szCs w:val="20"/>
        </w:rPr>
        <w:t xml:space="preserve">, but will record that such information is held. In-confidence submissions may be subject to release under the provisions of the </w:t>
      </w:r>
      <w:r w:rsidRPr="007D7B06">
        <w:rPr>
          <w:i/>
          <w:iCs/>
          <w:color w:val="000000" w:themeColor="text1"/>
          <w:sz w:val="20"/>
          <w:szCs w:val="20"/>
        </w:rPr>
        <w:t>Freedom of Information Act 1991</w:t>
      </w:r>
      <w:r w:rsidRPr="007D7B06">
        <w:rPr>
          <w:color w:val="000000" w:themeColor="text1"/>
          <w:sz w:val="20"/>
          <w:szCs w:val="20"/>
        </w:rPr>
        <w:t>. Submissions will be published as soon as possible after the end of the public comment period. Where large numbers of documents are involved, FSANZ will make these available on CD, rather than on the website.</w:t>
      </w:r>
    </w:p>
    <w:p w14:paraId="1C9853E1" w14:textId="77777777" w:rsidR="00876515" w:rsidRPr="007D7B06" w:rsidRDefault="00876515" w:rsidP="00276026">
      <w:pPr>
        <w:rPr>
          <w:color w:val="000000" w:themeColor="text1"/>
          <w:sz w:val="20"/>
          <w:szCs w:val="20"/>
          <w:lang w:val="en-AU"/>
        </w:rPr>
      </w:pPr>
    </w:p>
    <w:p w14:paraId="1C9853E2" w14:textId="77777777" w:rsidR="00E203C2" w:rsidRPr="007D7B06" w:rsidRDefault="00AD22F9" w:rsidP="00E203C2">
      <w:pPr>
        <w:rPr>
          <w:color w:val="000000" w:themeColor="text1"/>
          <w:sz w:val="20"/>
          <w:szCs w:val="20"/>
          <w:lang w:val="en-AU"/>
        </w:rPr>
      </w:pPr>
      <w:r w:rsidRPr="007D7B06">
        <w:rPr>
          <w:color w:val="000000" w:themeColor="text1"/>
          <w:sz w:val="20"/>
          <w:szCs w:val="20"/>
          <w:lang w:val="en-AU"/>
        </w:rPr>
        <w:t>Under s</w:t>
      </w:r>
      <w:r w:rsidR="00351B07" w:rsidRPr="007D7B06">
        <w:rPr>
          <w:color w:val="000000" w:themeColor="text1"/>
          <w:sz w:val="20"/>
          <w:szCs w:val="20"/>
          <w:lang w:val="en-AU"/>
        </w:rPr>
        <w:t xml:space="preserve">ection 114 </w:t>
      </w:r>
      <w:r w:rsidR="00FB1533" w:rsidRPr="007D7B06">
        <w:rPr>
          <w:color w:val="000000" w:themeColor="text1"/>
          <w:sz w:val="20"/>
          <w:szCs w:val="20"/>
          <w:lang w:val="en-AU"/>
        </w:rPr>
        <w:t xml:space="preserve">of the FSANZ Act, </w:t>
      </w:r>
      <w:r w:rsidRPr="007D7B06">
        <w:rPr>
          <w:color w:val="000000" w:themeColor="text1"/>
          <w:sz w:val="20"/>
          <w:szCs w:val="20"/>
          <w:lang w:val="en-AU"/>
        </w:rPr>
        <w:t>some information provided to FSANZ cannot be disclosed. More</w:t>
      </w:r>
      <w:r w:rsidR="00351B07" w:rsidRPr="007D7B06">
        <w:rPr>
          <w:color w:val="000000" w:themeColor="text1"/>
          <w:sz w:val="20"/>
          <w:szCs w:val="20"/>
          <w:lang w:val="en-AU"/>
        </w:rPr>
        <w:t xml:space="preserve"> information about the disclosure of confidential commercial information is available on the FSANZ website at</w:t>
      </w:r>
      <w:r w:rsidR="004A3685" w:rsidRPr="007D7B06">
        <w:rPr>
          <w:color w:val="000000" w:themeColor="text1"/>
          <w:sz w:val="20"/>
          <w:szCs w:val="20"/>
          <w:lang w:val="en-AU"/>
        </w:rPr>
        <w:t xml:space="preserve"> </w:t>
      </w:r>
      <w:hyperlink r:id="rId11" w:history="1">
        <w:r w:rsidR="004A3685" w:rsidRPr="007D7B06">
          <w:rPr>
            <w:rStyle w:val="Hyperlink"/>
            <w:sz w:val="20"/>
            <w:szCs w:val="20"/>
          </w:rPr>
          <w:t>information for submitters</w:t>
        </w:r>
      </w:hyperlink>
      <w:r w:rsidR="004A3685" w:rsidRPr="007D7B06">
        <w:rPr>
          <w:color w:val="000000" w:themeColor="text1"/>
          <w:sz w:val="20"/>
          <w:szCs w:val="20"/>
          <w:lang w:val="en-AU"/>
        </w:rPr>
        <w:t>.</w:t>
      </w:r>
    </w:p>
    <w:p w14:paraId="1C9853E3" w14:textId="77777777" w:rsidR="00E203C2" w:rsidRPr="007D7B06" w:rsidRDefault="00E203C2" w:rsidP="00E203C2">
      <w:pPr>
        <w:rPr>
          <w:color w:val="000000" w:themeColor="text1"/>
          <w:sz w:val="20"/>
          <w:szCs w:val="20"/>
          <w:lang w:val="en-AU"/>
        </w:rPr>
      </w:pPr>
    </w:p>
    <w:p w14:paraId="1C9853E4" w14:textId="77777777" w:rsidR="00351B07" w:rsidRPr="007D7B06" w:rsidRDefault="00E063C6" w:rsidP="00E203C2">
      <w:pPr>
        <w:rPr>
          <w:color w:val="000000" w:themeColor="text1"/>
          <w:sz w:val="20"/>
          <w:szCs w:val="20"/>
          <w:lang w:val="en-AU"/>
        </w:rPr>
      </w:pPr>
      <w:r w:rsidRPr="007D7B06">
        <w:rPr>
          <w:color w:val="000000" w:themeColor="text1"/>
          <w:sz w:val="20"/>
          <w:szCs w:val="20"/>
          <w:lang w:val="en-AU"/>
        </w:rPr>
        <w:t xml:space="preserve">Submissions </w:t>
      </w:r>
      <w:r w:rsidR="00351B07" w:rsidRPr="007D7B06">
        <w:rPr>
          <w:color w:val="000000" w:themeColor="text1"/>
          <w:sz w:val="20"/>
          <w:szCs w:val="20"/>
          <w:lang w:val="en-AU"/>
        </w:rPr>
        <w:t>should</w:t>
      </w:r>
      <w:r w:rsidRPr="007D7B06">
        <w:rPr>
          <w:color w:val="000000" w:themeColor="text1"/>
          <w:sz w:val="20"/>
          <w:szCs w:val="20"/>
          <w:lang w:val="en-AU"/>
        </w:rPr>
        <w:t xml:space="preserve"> be made in writing</w:t>
      </w:r>
      <w:r w:rsidR="00351B07" w:rsidRPr="007D7B06">
        <w:rPr>
          <w:color w:val="000000" w:themeColor="text1"/>
          <w:sz w:val="20"/>
          <w:szCs w:val="20"/>
          <w:lang w:val="en-AU"/>
        </w:rPr>
        <w:t>;</w:t>
      </w:r>
      <w:r w:rsidRPr="007D7B06">
        <w:rPr>
          <w:color w:val="000000" w:themeColor="text1"/>
          <w:sz w:val="20"/>
          <w:szCs w:val="20"/>
          <w:lang w:val="en-AU"/>
        </w:rPr>
        <w:t xml:space="preserve"> be marked </w:t>
      </w:r>
      <w:r w:rsidR="00351B07" w:rsidRPr="007D7B06">
        <w:rPr>
          <w:color w:val="000000" w:themeColor="text1"/>
          <w:sz w:val="20"/>
          <w:szCs w:val="20"/>
          <w:lang w:val="en-AU"/>
        </w:rPr>
        <w:t xml:space="preserve">clearly </w:t>
      </w:r>
      <w:r w:rsidRPr="007D7B06">
        <w:rPr>
          <w:color w:val="000000" w:themeColor="text1"/>
          <w:sz w:val="20"/>
          <w:szCs w:val="20"/>
          <w:lang w:val="en-AU"/>
        </w:rPr>
        <w:t>with the word ‘Submission’ and quote the correct project number and name</w:t>
      </w:r>
      <w:r w:rsidR="003309A8" w:rsidRPr="007D7B06">
        <w:rPr>
          <w:color w:val="000000" w:themeColor="text1"/>
          <w:sz w:val="20"/>
          <w:szCs w:val="20"/>
          <w:lang w:val="en-AU"/>
        </w:rPr>
        <w:t xml:space="preserve">. </w:t>
      </w:r>
      <w:r w:rsidRPr="007D7B06">
        <w:rPr>
          <w:color w:val="000000" w:themeColor="text1"/>
          <w:sz w:val="20"/>
          <w:szCs w:val="20"/>
          <w:lang w:val="en-AU"/>
        </w:rPr>
        <w:t xml:space="preserve">While FSANZ accepts submissions in hard copy to our offices, it is more convenient and quicker to receive submissions electronically through the FSANZ website </w:t>
      </w:r>
      <w:r w:rsidR="0037520F" w:rsidRPr="007D7B06">
        <w:rPr>
          <w:color w:val="000000" w:themeColor="text1"/>
          <w:sz w:val="20"/>
          <w:szCs w:val="20"/>
          <w:lang w:val="en-AU"/>
        </w:rPr>
        <w:t xml:space="preserve">via the link on </w:t>
      </w:r>
      <w:hyperlink r:id="rId12" w:history="1">
        <w:r w:rsidR="008C0E7A" w:rsidRPr="007D7B06">
          <w:rPr>
            <w:rStyle w:val="Hyperlink"/>
            <w:sz w:val="20"/>
            <w:szCs w:val="20"/>
          </w:rPr>
          <w:t>documents for public comment</w:t>
        </w:r>
      </w:hyperlink>
      <w:r w:rsidR="003309A8" w:rsidRPr="007D7B06">
        <w:rPr>
          <w:color w:val="000000" w:themeColor="text1"/>
          <w:sz w:val="20"/>
          <w:szCs w:val="20"/>
          <w:lang w:val="en-AU"/>
        </w:rPr>
        <w:t>.</w:t>
      </w:r>
      <w:r w:rsidR="008C0E7A" w:rsidRPr="007D7B06">
        <w:rPr>
          <w:color w:val="000000" w:themeColor="text1"/>
          <w:sz w:val="20"/>
          <w:szCs w:val="20"/>
          <w:lang w:val="en-AU"/>
        </w:rPr>
        <w:t xml:space="preserve"> </w:t>
      </w:r>
      <w:r w:rsidR="0037520F" w:rsidRPr="007D7B06">
        <w:rPr>
          <w:color w:val="000000" w:themeColor="text1"/>
          <w:sz w:val="20"/>
          <w:szCs w:val="20"/>
          <w:lang w:val="en-AU"/>
        </w:rPr>
        <w:t>You can also</w:t>
      </w:r>
      <w:r w:rsidRPr="007D7B06">
        <w:rPr>
          <w:color w:val="000000" w:themeColor="text1"/>
          <w:sz w:val="20"/>
          <w:szCs w:val="20"/>
          <w:lang w:val="en-AU"/>
        </w:rPr>
        <w:t xml:space="preserve"> email your submission directly to </w:t>
      </w:r>
      <w:hyperlink r:id="rId13" w:history="1">
        <w:r w:rsidRPr="007D7B06">
          <w:rPr>
            <w:rStyle w:val="Hyperlink"/>
            <w:sz w:val="20"/>
            <w:szCs w:val="20"/>
          </w:rPr>
          <w:t>submissions@foodstandards.gov.au</w:t>
        </w:r>
      </w:hyperlink>
      <w:r w:rsidR="003309A8" w:rsidRPr="007D7B06">
        <w:rPr>
          <w:color w:val="000000" w:themeColor="text1"/>
          <w:sz w:val="20"/>
          <w:szCs w:val="20"/>
          <w:lang w:val="en-AU"/>
        </w:rPr>
        <w:t xml:space="preserve">. </w:t>
      </w:r>
    </w:p>
    <w:p w14:paraId="1C9853E5" w14:textId="77777777" w:rsidR="00E203C2" w:rsidRPr="007D7B06" w:rsidRDefault="00E203C2" w:rsidP="00E203C2">
      <w:pPr>
        <w:rPr>
          <w:color w:val="000000" w:themeColor="text1"/>
          <w:sz w:val="20"/>
          <w:szCs w:val="20"/>
          <w:lang w:val="en-AU"/>
        </w:rPr>
      </w:pPr>
    </w:p>
    <w:p w14:paraId="1C9853E6" w14:textId="77777777" w:rsidR="00E063C6" w:rsidRPr="002933AF" w:rsidRDefault="00E063C6" w:rsidP="00E203C2">
      <w:pPr>
        <w:rPr>
          <w:color w:val="000000" w:themeColor="text1"/>
          <w:sz w:val="20"/>
          <w:szCs w:val="20"/>
          <w:lang w:val="en-AU"/>
        </w:rPr>
      </w:pPr>
      <w:r w:rsidRPr="007D7B06">
        <w:rPr>
          <w:color w:val="000000" w:themeColor="text1"/>
          <w:sz w:val="20"/>
          <w:szCs w:val="20"/>
          <w:lang w:val="en-AU"/>
        </w:rPr>
        <w:t xml:space="preserve">There is no need to send a hard copy of your submission if you have submitted it by email or </w:t>
      </w:r>
      <w:r w:rsidR="0037520F" w:rsidRPr="007D7B06">
        <w:rPr>
          <w:color w:val="000000" w:themeColor="text1"/>
          <w:sz w:val="20"/>
          <w:szCs w:val="20"/>
          <w:lang w:val="en-AU"/>
        </w:rPr>
        <w:t xml:space="preserve">via </w:t>
      </w:r>
      <w:r w:rsidRPr="007D7B06">
        <w:rPr>
          <w:color w:val="000000" w:themeColor="text1"/>
          <w:sz w:val="20"/>
          <w:szCs w:val="20"/>
          <w:lang w:val="en-AU"/>
        </w:rPr>
        <w:t>the</w:t>
      </w:r>
      <w:r w:rsidRPr="002933AF">
        <w:rPr>
          <w:color w:val="000000" w:themeColor="text1"/>
          <w:sz w:val="20"/>
          <w:szCs w:val="20"/>
          <w:lang w:val="en-AU"/>
        </w:rPr>
        <w:t xml:space="preserve"> FSANZ website</w:t>
      </w:r>
      <w:r w:rsidR="003309A8" w:rsidRPr="002933AF">
        <w:rPr>
          <w:color w:val="000000" w:themeColor="text1"/>
          <w:sz w:val="20"/>
          <w:szCs w:val="20"/>
          <w:lang w:val="en-AU"/>
        </w:rPr>
        <w:t xml:space="preserve">. </w:t>
      </w:r>
      <w:r w:rsidRPr="002933AF">
        <w:rPr>
          <w:color w:val="000000" w:themeColor="text1"/>
          <w:sz w:val="20"/>
          <w:szCs w:val="20"/>
          <w:lang w:val="en-AU"/>
        </w:rPr>
        <w:t>FSANZ endeavours to formally acknowledge receipt of submissions within 3 business days.</w:t>
      </w:r>
    </w:p>
    <w:p w14:paraId="1C9853E7" w14:textId="77777777" w:rsidR="00E203C2" w:rsidRPr="00D676CF" w:rsidRDefault="00E203C2" w:rsidP="00E203C2">
      <w:pPr>
        <w:rPr>
          <w:color w:val="000000"/>
          <w:sz w:val="20"/>
          <w:lang w:val="en-AU"/>
        </w:rPr>
      </w:pPr>
    </w:p>
    <w:p w14:paraId="1C9853E8" w14:textId="3B96384D" w:rsidR="00E063C6" w:rsidRPr="007D7B06"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7D7B06">
        <w:rPr>
          <w:rFonts w:cs="Arial"/>
          <w:b/>
          <w:bCs/>
          <w:sz w:val="24"/>
        </w:rPr>
        <w:t xml:space="preserve">) </w:t>
      </w:r>
      <w:r w:rsidR="007D7B06" w:rsidRPr="007D7B06">
        <w:rPr>
          <w:rFonts w:cs="Arial"/>
          <w:b/>
          <w:bCs/>
          <w:sz w:val="24"/>
        </w:rPr>
        <w:t>30 September 2016</w:t>
      </w:r>
    </w:p>
    <w:p w14:paraId="1C9853E9" w14:textId="77777777" w:rsidR="00E203C2" w:rsidRPr="007C174F" w:rsidRDefault="00E203C2" w:rsidP="00E203C2">
      <w:pPr>
        <w:rPr>
          <w:sz w:val="20"/>
          <w:szCs w:val="20"/>
          <w:lang w:val="en-AU"/>
        </w:rPr>
      </w:pPr>
    </w:p>
    <w:p w14:paraId="1C9853EA" w14:textId="77777777" w:rsidR="00E063C6" w:rsidRPr="002933AF" w:rsidRDefault="00E063C6" w:rsidP="00E203C2">
      <w:pPr>
        <w:rPr>
          <w:color w:val="000000" w:themeColor="text1"/>
          <w:sz w:val="19"/>
          <w:szCs w:val="19"/>
          <w:lang w:val="en-AU"/>
        </w:rPr>
      </w:pPr>
      <w:r w:rsidRPr="002933AF">
        <w:rPr>
          <w:color w:val="000000" w:themeColor="text1"/>
          <w:sz w:val="19"/>
          <w:szCs w:val="19"/>
          <w:lang w:val="en-AU"/>
        </w:rPr>
        <w:t xml:space="preserve">Submissions received after this date will </w:t>
      </w:r>
      <w:r w:rsidR="00351B07" w:rsidRPr="002933AF">
        <w:rPr>
          <w:color w:val="000000" w:themeColor="text1"/>
          <w:sz w:val="19"/>
          <w:szCs w:val="19"/>
          <w:lang w:val="en-AU"/>
        </w:rPr>
        <w:t>not</w:t>
      </w:r>
      <w:r w:rsidRPr="002933AF">
        <w:rPr>
          <w:color w:val="000000" w:themeColor="text1"/>
          <w:sz w:val="19"/>
          <w:szCs w:val="19"/>
          <w:lang w:val="en-AU"/>
        </w:rPr>
        <w:t xml:space="preserve"> be considered </w:t>
      </w:r>
      <w:r w:rsidR="00351B07" w:rsidRPr="002933AF">
        <w:rPr>
          <w:color w:val="000000" w:themeColor="text1"/>
          <w:sz w:val="19"/>
          <w:szCs w:val="19"/>
          <w:lang w:val="en-AU"/>
        </w:rPr>
        <w:t>unless</w:t>
      </w:r>
      <w:r w:rsidRPr="002933AF">
        <w:rPr>
          <w:color w:val="000000" w:themeColor="text1"/>
          <w:sz w:val="19"/>
          <w:szCs w:val="19"/>
          <w:lang w:val="en-AU"/>
        </w:rPr>
        <w:t xml:space="preserve"> an extension ha</w:t>
      </w:r>
      <w:r w:rsidR="00D22F3C" w:rsidRPr="002933AF">
        <w:rPr>
          <w:color w:val="000000" w:themeColor="text1"/>
          <w:sz w:val="19"/>
          <w:szCs w:val="19"/>
          <w:lang w:val="en-AU"/>
        </w:rPr>
        <w:t>d</w:t>
      </w:r>
      <w:r w:rsidRPr="002933AF">
        <w:rPr>
          <w:color w:val="000000" w:themeColor="text1"/>
          <w:sz w:val="19"/>
          <w:szCs w:val="19"/>
          <w:lang w:val="en-AU"/>
        </w:rPr>
        <w:t xml:space="preserve"> been given </w:t>
      </w:r>
      <w:r w:rsidR="0037520F" w:rsidRPr="002933AF">
        <w:rPr>
          <w:color w:val="000000" w:themeColor="text1"/>
          <w:sz w:val="19"/>
          <w:szCs w:val="19"/>
          <w:lang w:val="en-AU"/>
        </w:rPr>
        <w:t xml:space="preserve">before </w:t>
      </w:r>
      <w:r w:rsidRPr="002933AF">
        <w:rPr>
          <w:color w:val="000000" w:themeColor="text1"/>
          <w:sz w:val="19"/>
          <w:szCs w:val="19"/>
          <w:lang w:val="en-AU"/>
        </w:rPr>
        <w:t>th</w:t>
      </w:r>
      <w:r w:rsidR="00351B07" w:rsidRPr="002933AF">
        <w:rPr>
          <w:color w:val="000000" w:themeColor="text1"/>
          <w:sz w:val="19"/>
          <w:szCs w:val="19"/>
          <w:lang w:val="en-AU"/>
        </w:rPr>
        <w:t>e</w:t>
      </w:r>
      <w:r w:rsidRPr="002933AF">
        <w:rPr>
          <w:color w:val="000000" w:themeColor="text1"/>
          <w:sz w:val="19"/>
          <w:szCs w:val="19"/>
          <w:lang w:val="en-AU"/>
        </w:rPr>
        <w:t xml:space="preserve"> closing date</w:t>
      </w:r>
      <w:r w:rsidR="003309A8" w:rsidRPr="002933AF">
        <w:rPr>
          <w:color w:val="000000" w:themeColor="text1"/>
          <w:sz w:val="19"/>
          <w:szCs w:val="19"/>
          <w:lang w:val="en-AU"/>
        </w:rPr>
        <w:t xml:space="preserve">. </w:t>
      </w:r>
      <w:r w:rsidR="0037520F" w:rsidRPr="002933AF">
        <w:rPr>
          <w:color w:val="000000" w:themeColor="text1"/>
          <w:sz w:val="19"/>
          <w:szCs w:val="19"/>
          <w:lang w:val="en-AU"/>
        </w:rPr>
        <w:t xml:space="preserve">Extensions will only be granted due to </w:t>
      </w:r>
      <w:r w:rsidRPr="002933AF">
        <w:rPr>
          <w:color w:val="000000" w:themeColor="text1"/>
          <w:sz w:val="19"/>
          <w:szCs w:val="19"/>
          <w:lang w:val="en-AU"/>
        </w:rPr>
        <w:t xml:space="preserve">extraordinary circumstances </w:t>
      </w:r>
      <w:r w:rsidR="0037520F" w:rsidRPr="002933AF">
        <w:rPr>
          <w:color w:val="000000" w:themeColor="text1"/>
          <w:sz w:val="19"/>
          <w:szCs w:val="19"/>
          <w:lang w:val="en-AU"/>
        </w:rPr>
        <w:t xml:space="preserve">during the </w:t>
      </w:r>
      <w:r w:rsidRPr="002933AF">
        <w:rPr>
          <w:color w:val="000000" w:themeColor="text1"/>
          <w:sz w:val="19"/>
          <w:szCs w:val="19"/>
          <w:lang w:val="en-AU"/>
        </w:rPr>
        <w:t>submission period</w:t>
      </w:r>
      <w:r w:rsidR="003309A8" w:rsidRPr="002933AF">
        <w:rPr>
          <w:color w:val="000000" w:themeColor="text1"/>
          <w:sz w:val="19"/>
          <w:szCs w:val="19"/>
          <w:lang w:val="en-AU"/>
        </w:rPr>
        <w:t xml:space="preserve">. </w:t>
      </w:r>
      <w:r w:rsidRPr="002933AF">
        <w:rPr>
          <w:color w:val="000000" w:themeColor="text1"/>
          <w:sz w:val="19"/>
          <w:szCs w:val="19"/>
          <w:lang w:val="en-AU"/>
        </w:rPr>
        <w:t>Any agreed extension will be notified on the FSANZ website and will apply to all submitters.</w:t>
      </w:r>
    </w:p>
    <w:p w14:paraId="1C9853EB" w14:textId="77777777" w:rsidR="00E203C2" w:rsidRPr="002933AF" w:rsidRDefault="00E203C2" w:rsidP="00E203C2">
      <w:pPr>
        <w:rPr>
          <w:color w:val="000000" w:themeColor="text1"/>
          <w:sz w:val="19"/>
          <w:szCs w:val="19"/>
          <w:lang w:val="en-AU"/>
        </w:rPr>
      </w:pPr>
    </w:p>
    <w:p w14:paraId="1C9853EC" w14:textId="77777777" w:rsidR="00E063C6" w:rsidRPr="00AD6580" w:rsidRDefault="0037520F" w:rsidP="00C729C7">
      <w:pPr>
        <w:rPr>
          <w:bCs/>
          <w:color w:val="0000FF"/>
          <w:sz w:val="19"/>
          <w:szCs w:val="19"/>
          <w:lang w:val="en-AU"/>
        </w:rPr>
      </w:pPr>
      <w:r w:rsidRPr="002933AF">
        <w:rPr>
          <w:color w:val="000000" w:themeColor="text1"/>
          <w:sz w:val="19"/>
          <w:szCs w:val="19"/>
          <w:lang w:val="en-AU"/>
        </w:rPr>
        <w:t>Questions about</w:t>
      </w:r>
      <w:r w:rsidR="00E063C6" w:rsidRPr="002933AF">
        <w:rPr>
          <w:color w:val="000000" w:themeColor="text1"/>
          <w:sz w:val="19"/>
          <w:szCs w:val="19"/>
          <w:lang w:val="en-AU"/>
        </w:rPr>
        <w:t xml:space="preserve"> making submissions or the application process can be </w:t>
      </w:r>
      <w:r w:rsidRPr="002933AF">
        <w:rPr>
          <w:color w:val="000000" w:themeColor="text1"/>
          <w:sz w:val="19"/>
          <w:szCs w:val="19"/>
          <w:lang w:val="en-AU"/>
        </w:rPr>
        <w:t>sent to</w:t>
      </w:r>
      <w:r w:rsidR="00E063C6" w:rsidRPr="002933AF">
        <w:rPr>
          <w:color w:val="000000" w:themeColor="text1"/>
          <w:sz w:val="19"/>
          <w:szCs w:val="19"/>
          <w:lang w:val="en-AU"/>
        </w:rPr>
        <w:t xml:space="preserve"> </w:t>
      </w:r>
      <w:hyperlink r:id="rId14" w:history="1">
        <w:r w:rsidR="00E063C6" w:rsidRPr="00AD6580">
          <w:rPr>
            <w:rStyle w:val="Hyperlink"/>
            <w:rFonts w:cs="Arial"/>
            <w:color w:val="0000FF"/>
            <w:sz w:val="19"/>
            <w:szCs w:val="19"/>
            <w:lang w:val="en-AU"/>
          </w:rPr>
          <w:t>standards.management@foodstandards.gov.au</w:t>
        </w:r>
      </w:hyperlink>
      <w:r w:rsidR="00E063C6" w:rsidRPr="00AD6580">
        <w:rPr>
          <w:color w:val="0000FF"/>
          <w:sz w:val="19"/>
          <w:szCs w:val="19"/>
          <w:lang w:val="en-AU"/>
        </w:rPr>
        <w:t xml:space="preserve">. </w:t>
      </w:r>
    </w:p>
    <w:p w14:paraId="1C9853ED" w14:textId="77777777" w:rsidR="00E203C2" w:rsidRPr="00AD6580" w:rsidRDefault="00E203C2" w:rsidP="003A7725">
      <w:pPr>
        <w:rPr>
          <w:color w:val="0000FF"/>
          <w:sz w:val="19"/>
          <w:szCs w:val="19"/>
          <w:lang w:val="en-AU"/>
        </w:rPr>
      </w:pPr>
    </w:p>
    <w:p w14:paraId="1C9853EE" w14:textId="77777777" w:rsidR="00E063C6" w:rsidRPr="002933AF" w:rsidRDefault="00351B07" w:rsidP="00E203C2">
      <w:pPr>
        <w:rPr>
          <w:color w:val="000000" w:themeColor="text1"/>
          <w:sz w:val="19"/>
          <w:szCs w:val="19"/>
          <w:lang w:val="en-AU"/>
        </w:rPr>
      </w:pPr>
      <w:r w:rsidRPr="002933AF">
        <w:rPr>
          <w:color w:val="000000" w:themeColor="text1"/>
          <w:sz w:val="19"/>
          <w:szCs w:val="19"/>
          <w:lang w:val="en-AU"/>
        </w:rPr>
        <w:t>Hard</w:t>
      </w:r>
      <w:r w:rsidR="00E063C6" w:rsidRPr="002933AF">
        <w:rPr>
          <w:color w:val="000000" w:themeColor="text1"/>
          <w:sz w:val="19"/>
          <w:szCs w:val="19"/>
          <w:lang w:val="en-AU"/>
        </w:rPr>
        <w:t xml:space="preserve"> copy submissions may be sent to one of the following addresses:</w:t>
      </w:r>
    </w:p>
    <w:p w14:paraId="1C9853EF" w14:textId="77777777" w:rsidR="00E203C2" w:rsidRPr="002933AF" w:rsidRDefault="00E203C2" w:rsidP="00E203C2">
      <w:pPr>
        <w:rPr>
          <w:color w:val="000000" w:themeColor="text1"/>
          <w:sz w:val="19"/>
          <w:szCs w:val="19"/>
          <w:lang w:val="en-AU"/>
        </w:rPr>
      </w:pPr>
    </w:p>
    <w:p w14:paraId="1C9853F0" w14:textId="77777777" w:rsidR="00E203C2" w:rsidRPr="002933AF" w:rsidRDefault="00E063C6" w:rsidP="00E203C2">
      <w:pPr>
        <w:tabs>
          <w:tab w:val="left" w:pos="4536"/>
        </w:tabs>
        <w:rPr>
          <w:color w:val="000000" w:themeColor="text1"/>
          <w:sz w:val="19"/>
          <w:szCs w:val="19"/>
        </w:rPr>
      </w:pPr>
      <w:r w:rsidRPr="002933AF">
        <w:rPr>
          <w:color w:val="000000" w:themeColor="text1"/>
          <w:sz w:val="19"/>
          <w:szCs w:val="19"/>
        </w:rPr>
        <w:t>Food Standards Australia New Zealand</w:t>
      </w:r>
      <w:r w:rsidRPr="002933AF">
        <w:rPr>
          <w:color w:val="000000" w:themeColor="text1"/>
          <w:sz w:val="19"/>
          <w:szCs w:val="19"/>
        </w:rPr>
        <w:tab/>
      </w:r>
      <w:r w:rsidRPr="002933AF">
        <w:rPr>
          <w:color w:val="000000" w:themeColor="text1"/>
          <w:sz w:val="19"/>
          <w:szCs w:val="19"/>
        </w:rPr>
        <w:tab/>
        <w:t>Food Standards Australia New Zealand</w:t>
      </w:r>
    </w:p>
    <w:p w14:paraId="1C9853F1" w14:textId="77777777" w:rsidR="00E203C2" w:rsidRPr="002933AF" w:rsidRDefault="00E063C6" w:rsidP="00E203C2">
      <w:pPr>
        <w:tabs>
          <w:tab w:val="left" w:pos="4536"/>
        </w:tabs>
        <w:rPr>
          <w:color w:val="000000" w:themeColor="text1"/>
          <w:sz w:val="19"/>
          <w:szCs w:val="19"/>
        </w:rPr>
      </w:pPr>
      <w:r w:rsidRPr="002933AF">
        <w:rPr>
          <w:color w:val="000000" w:themeColor="text1"/>
          <w:sz w:val="19"/>
          <w:szCs w:val="19"/>
        </w:rPr>
        <w:t xml:space="preserve">PO Box </w:t>
      </w:r>
      <w:r w:rsidR="00685269" w:rsidRPr="002933AF">
        <w:rPr>
          <w:color w:val="000000" w:themeColor="text1"/>
          <w:sz w:val="19"/>
          <w:szCs w:val="19"/>
        </w:rPr>
        <w:t>5423</w:t>
      </w:r>
      <w:r w:rsidRPr="002933AF">
        <w:rPr>
          <w:color w:val="000000" w:themeColor="text1"/>
          <w:sz w:val="19"/>
          <w:szCs w:val="19"/>
        </w:rPr>
        <w:tab/>
      </w:r>
      <w:r w:rsidRPr="002933AF">
        <w:rPr>
          <w:color w:val="000000" w:themeColor="text1"/>
          <w:sz w:val="19"/>
          <w:szCs w:val="19"/>
        </w:rPr>
        <w:tab/>
        <w:t>PO Box 10559</w:t>
      </w:r>
    </w:p>
    <w:p w14:paraId="1C9853F2" w14:textId="77777777" w:rsidR="00E203C2" w:rsidRPr="002933AF" w:rsidRDefault="00685269" w:rsidP="00E203C2">
      <w:pPr>
        <w:tabs>
          <w:tab w:val="left" w:pos="4536"/>
        </w:tabs>
        <w:rPr>
          <w:color w:val="000000" w:themeColor="text1"/>
          <w:sz w:val="19"/>
          <w:szCs w:val="19"/>
        </w:rPr>
      </w:pPr>
      <w:r w:rsidRPr="002933AF">
        <w:rPr>
          <w:color w:val="000000" w:themeColor="text1"/>
          <w:sz w:val="19"/>
          <w:szCs w:val="19"/>
        </w:rPr>
        <w:t>KINGSTON</w:t>
      </w:r>
      <w:r w:rsidR="00E063C6" w:rsidRPr="002933AF">
        <w:rPr>
          <w:color w:val="000000" w:themeColor="text1"/>
          <w:sz w:val="19"/>
          <w:szCs w:val="19"/>
        </w:rPr>
        <w:t xml:space="preserve"> </w:t>
      </w:r>
      <w:r w:rsidR="0037520F" w:rsidRPr="002933AF">
        <w:rPr>
          <w:color w:val="000000" w:themeColor="text1"/>
          <w:sz w:val="19"/>
          <w:szCs w:val="19"/>
        </w:rPr>
        <w:t xml:space="preserve"> </w:t>
      </w:r>
      <w:r w:rsidR="00E063C6" w:rsidRPr="002933AF">
        <w:rPr>
          <w:color w:val="000000" w:themeColor="text1"/>
          <w:sz w:val="19"/>
          <w:szCs w:val="19"/>
        </w:rPr>
        <w:t>ACT</w:t>
      </w:r>
      <w:r w:rsidR="0037520F" w:rsidRPr="002933AF">
        <w:rPr>
          <w:color w:val="000000" w:themeColor="text1"/>
          <w:sz w:val="19"/>
          <w:szCs w:val="19"/>
        </w:rPr>
        <w:t xml:space="preserve"> </w:t>
      </w:r>
      <w:r w:rsidR="00E063C6" w:rsidRPr="002933AF">
        <w:rPr>
          <w:color w:val="000000" w:themeColor="text1"/>
          <w:sz w:val="19"/>
          <w:szCs w:val="19"/>
        </w:rPr>
        <w:t xml:space="preserve"> 2</w:t>
      </w:r>
      <w:r w:rsidRPr="002933AF">
        <w:rPr>
          <w:color w:val="000000" w:themeColor="text1"/>
          <w:sz w:val="19"/>
          <w:szCs w:val="19"/>
        </w:rPr>
        <w:t>604</w:t>
      </w:r>
      <w:r w:rsidR="00E063C6" w:rsidRPr="002933AF">
        <w:rPr>
          <w:color w:val="000000" w:themeColor="text1"/>
          <w:sz w:val="19"/>
          <w:szCs w:val="19"/>
        </w:rPr>
        <w:tab/>
      </w:r>
      <w:r w:rsidR="00E063C6" w:rsidRPr="002933AF">
        <w:rPr>
          <w:color w:val="000000" w:themeColor="text1"/>
          <w:sz w:val="19"/>
          <w:szCs w:val="19"/>
        </w:rPr>
        <w:tab/>
        <w:t>The Terrace WELLINGTON 6143</w:t>
      </w:r>
    </w:p>
    <w:p w14:paraId="1C9853F3" w14:textId="77777777" w:rsidR="00E063C6" w:rsidRPr="002933AF" w:rsidRDefault="00E063C6" w:rsidP="00E203C2">
      <w:pPr>
        <w:tabs>
          <w:tab w:val="left" w:pos="4536"/>
        </w:tabs>
        <w:rPr>
          <w:color w:val="000000" w:themeColor="text1"/>
          <w:sz w:val="19"/>
          <w:szCs w:val="19"/>
        </w:rPr>
      </w:pPr>
      <w:r w:rsidRPr="002933AF">
        <w:rPr>
          <w:color w:val="000000" w:themeColor="text1"/>
          <w:sz w:val="19"/>
          <w:szCs w:val="19"/>
        </w:rPr>
        <w:t>AUSTRALIA</w:t>
      </w:r>
      <w:r w:rsidRPr="002933AF">
        <w:rPr>
          <w:color w:val="000000" w:themeColor="text1"/>
          <w:sz w:val="19"/>
          <w:szCs w:val="19"/>
        </w:rPr>
        <w:tab/>
      </w:r>
      <w:r w:rsidRPr="002933AF">
        <w:rPr>
          <w:color w:val="000000" w:themeColor="text1"/>
          <w:sz w:val="19"/>
          <w:szCs w:val="19"/>
        </w:rPr>
        <w:tab/>
        <w:t>NEW ZEALAND</w:t>
      </w:r>
    </w:p>
    <w:p w14:paraId="170D9C24" w14:textId="77777777" w:rsidR="007D7B06" w:rsidRDefault="00E063C6" w:rsidP="00203540">
      <w:pPr>
        <w:tabs>
          <w:tab w:val="left" w:pos="4536"/>
        </w:tabs>
        <w:rPr>
          <w:color w:val="000000" w:themeColor="text1"/>
          <w:sz w:val="19"/>
          <w:szCs w:val="19"/>
        </w:rPr>
        <w:sectPr w:rsidR="007D7B06" w:rsidSect="007D7B06">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pgNumType w:fmt="lowerRoman" w:start="1"/>
          <w:cols w:space="708"/>
          <w:docGrid w:linePitch="360"/>
        </w:sectPr>
      </w:pPr>
      <w:r w:rsidRPr="002933AF">
        <w:rPr>
          <w:color w:val="000000" w:themeColor="text1"/>
          <w:sz w:val="19"/>
          <w:szCs w:val="19"/>
        </w:rPr>
        <w:t xml:space="preserve">Tel </w:t>
      </w:r>
      <w:r w:rsidR="00DD3C5E" w:rsidRPr="002933AF">
        <w:rPr>
          <w:color w:val="000000" w:themeColor="text1"/>
          <w:sz w:val="19"/>
          <w:szCs w:val="19"/>
        </w:rPr>
        <w:t>+61 2</w:t>
      </w:r>
      <w:r w:rsidRPr="002933AF">
        <w:rPr>
          <w:color w:val="000000" w:themeColor="text1"/>
          <w:sz w:val="19"/>
          <w:szCs w:val="19"/>
        </w:rPr>
        <w:t xml:space="preserve"> 6271 2222  </w:t>
      </w:r>
      <w:r w:rsidRPr="002933AF">
        <w:rPr>
          <w:color w:val="000000" w:themeColor="text1"/>
          <w:sz w:val="19"/>
          <w:szCs w:val="19"/>
        </w:rPr>
        <w:tab/>
      </w:r>
      <w:r w:rsidRPr="002933AF">
        <w:rPr>
          <w:color w:val="000000" w:themeColor="text1"/>
          <w:sz w:val="19"/>
          <w:szCs w:val="19"/>
        </w:rPr>
        <w:tab/>
        <w:t xml:space="preserve">Tel </w:t>
      </w:r>
      <w:r w:rsidR="00DD3C5E" w:rsidRPr="002933AF">
        <w:rPr>
          <w:color w:val="000000" w:themeColor="text1"/>
          <w:sz w:val="19"/>
          <w:szCs w:val="19"/>
        </w:rPr>
        <w:t>+64 4</w:t>
      </w:r>
      <w:r w:rsidR="0037520F" w:rsidRPr="002933AF">
        <w:rPr>
          <w:color w:val="000000" w:themeColor="text1"/>
          <w:sz w:val="19"/>
          <w:szCs w:val="19"/>
        </w:rPr>
        <w:t xml:space="preserve"> 978 5630</w:t>
      </w:r>
    </w:p>
    <w:p w14:paraId="1C9853F6"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1C9853F7" w14:textId="77777777" w:rsidR="00562917" w:rsidRPr="007D7B06" w:rsidRDefault="00562917" w:rsidP="00051ED9">
      <w:pPr>
        <w:rPr>
          <w:rFonts w:cs="Arial"/>
        </w:rPr>
      </w:pPr>
    </w:p>
    <w:p w14:paraId="1C9853F8" w14:textId="77777777" w:rsidR="001F583E" w:rsidRPr="007D7B06" w:rsidRDefault="00051ED9">
      <w:pPr>
        <w:pStyle w:val="TOC1"/>
        <w:tabs>
          <w:tab w:val="right" w:leader="dot" w:pos="9060"/>
        </w:tabs>
        <w:rPr>
          <w:rFonts w:ascii="Arial" w:eastAsiaTheme="minorEastAsia" w:hAnsi="Arial" w:cs="Arial"/>
          <w:b w:val="0"/>
          <w:bCs w:val="0"/>
          <w:caps w:val="0"/>
          <w:noProof/>
          <w:sz w:val="22"/>
          <w:szCs w:val="22"/>
          <w:lang w:eastAsia="en-GB" w:bidi="ar-SA"/>
        </w:rPr>
      </w:pPr>
      <w:r w:rsidRPr="007D7B06">
        <w:rPr>
          <w:rFonts w:ascii="Arial" w:hAnsi="Arial" w:cs="Arial"/>
        </w:rPr>
        <w:fldChar w:fldCharType="begin"/>
      </w:r>
      <w:r w:rsidRPr="007D7B06">
        <w:rPr>
          <w:rFonts w:ascii="Arial" w:hAnsi="Arial" w:cs="Arial"/>
        </w:rPr>
        <w:instrText xml:space="preserve"> TOC \o "1-3" \h \z \u </w:instrText>
      </w:r>
      <w:r w:rsidRPr="007D7B06">
        <w:rPr>
          <w:rFonts w:ascii="Arial" w:hAnsi="Arial" w:cs="Arial"/>
        </w:rPr>
        <w:fldChar w:fldCharType="separate"/>
      </w:r>
      <w:hyperlink w:anchor="_Toc454376556" w:history="1">
        <w:r w:rsidR="001F583E" w:rsidRPr="007D7B06">
          <w:rPr>
            <w:rStyle w:val="Hyperlink"/>
            <w:rFonts w:cs="Arial"/>
            <w:noProof/>
          </w:rPr>
          <w:t>Executive summary</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_Toc454376556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3</w:t>
        </w:r>
        <w:r w:rsidR="001F583E" w:rsidRPr="007D7B06">
          <w:rPr>
            <w:rFonts w:ascii="Arial" w:hAnsi="Arial" w:cs="Arial"/>
            <w:noProof/>
            <w:webHidden/>
          </w:rPr>
          <w:fldChar w:fldCharType="end"/>
        </w:r>
      </w:hyperlink>
    </w:p>
    <w:p w14:paraId="1C9853F9" w14:textId="77777777" w:rsidR="001F583E" w:rsidRPr="007D7B06" w:rsidRDefault="005B3AF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54376557" w:history="1">
        <w:r w:rsidR="001F583E" w:rsidRPr="007D7B06">
          <w:rPr>
            <w:rStyle w:val="Hyperlink"/>
            <w:rFonts w:cs="Arial"/>
            <w:noProof/>
          </w:rPr>
          <w:t>1</w:t>
        </w:r>
        <w:r w:rsidR="001F583E" w:rsidRPr="007D7B06">
          <w:rPr>
            <w:rFonts w:ascii="Arial" w:eastAsiaTheme="minorEastAsia" w:hAnsi="Arial" w:cs="Arial"/>
            <w:b w:val="0"/>
            <w:bCs w:val="0"/>
            <w:caps w:val="0"/>
            <w:noProof/>
            <w:sz w:val="22"/>
            <w:szCs w:val="22"/>
            <w:lang w:eastAsia="en-GB" w:bidi="ar-SA"/>
          </w:rPr>
          <w:tab/>
        </w:r>
        <w:r w:rsidR="001F583E" w:rsidRPr="007D7B06">
          <w:rPr>
            <w:rStyle w:val="Hyperlink"/>
            <w:rFonts w:cs="Arial"/>
            <w:noProof/>
          </w:rPr>
          <w:t>Introduction</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_Toc454376557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4</w:t>
        </w:r>
        <w:r w:rsidR="001F583E" w:rsidRPr="007D7B06">
          <w:rPr>
            <w:rFonts w:ascii="Arial" w:hAnsi="Arial" w:cs="Arial"/>
            <w:noProof/>
            <w:webHidden/>
          </w:rPr>
          <w:fldChar w:fldCharType="end"/>
        </w:r>
      </w:hyperlink>
    </w:p>
    <w:p w14:paraId="1C9853FA" w14:textId="77777777" w:rsidR="001F583E" w:rsidRPr="007D7B06" w:rsidRDefault="005B3AF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6558" w:history="1">
        <w:r w:rsidR="001F583E" w:rsidRPr="007D7B06">
          <w:rPr>
            <w:rStyle w:val="Hyperlink"/>
            <w:rFonts w:cs="Arial"/>
            <w:noProof/>
          </w:rPr>
          <w:t>1.1</w:t>
        </w:r>
        <w:r w:rsidR="001F583E" w:rsidRPr="007D7B06">
          <w:rPr>
            <w:rFonts w:ascii="Arial" w:eastAsiaTheme="minorEastAsia" w:hAnsi="Arial" w:cs="Arial"/>
            <w:smallCaps w:val="0"/>
            <w:noProof/>
            <w:sz w:val="22"/>
            <w:szCs w:val="22"/>
            <w:lang w:eastAsia="en-GB" w:bidi="ar-SA"/>
          </w:rPr>
          <w:tab/>
        </w:r>
        <w:r w:rsidR="001F583E" w:rsidRPr="007D7B06">
          <w:rPr>
            <w:rStyle w:val="Hyperlink"/>
            <w:rFonts w:cs="Arial"/>
            <w:noProof/>
          </w:rPr>
          <w:t>The Applicant</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_Toc454376558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4</w:t>
        </w:r>
        <w:r w:rsidR="001F583E" w:rsidRPr="007D7B06">
          <w:rPr>
            <w:rFonts w:ascii="Arial" w:hAnsi="Arial" w:cs="Arial"/>
            <w:noProof/>
            <w:webHidden/>
          </w:rPr>
          <w:fldChar w:fldCharType="end"/>
        </w:r>
      </w:hyperlink>
    </w:p>
    <w:p w14:paraId="1C9853FB" w14:textId="77777777" w:rsidR="001F583E" w:rsidRPr="007D7B06" w:rsidRDefault="005B3AF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6559" w:history="1">
        <w:r w:rsidR="001F583E" w:rsidRPr="007D7B06">
          <w:rPr>
            <w:rStyle w:val="Hyperlink"/>
            <w:rFonts w:cs="Arial"/>
            <w:noProof/>
          </w:rPr>
          <w:t>1.2</w:t>
        </w:r>
        <w:r w:rsidR="001F583E" w:rsidRPr="007D7B06">
          <w:rPr>
            <w:rFonts w:ascii="Arial" w:eastAsiaTheme="minorEastAsia" w:hAnsi="Arial" w:cs="Arial"/>
            <w:smallCaps w:val="0"/>
            <w:noProof/>
            <w:sz w:val="22"/>
            <w:szCs w:val="22"/>
            <w:lang w:eastAsia="en-GB" w:bidi="ar-SA"/>
          </w:rPr>
          <w:tab/>
        </w:r>
        <w:r w:rsidR="001F583E" w:rsidRPr="007D7B06">
          <w:rPr>
            <w:rStyle w:val="Hyperlink"/>
            <w:rFonts w:cs="Arial"/>
            <w:noProof/>
          </w:rPr>
          <w:t>The Application</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_Toc454376559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4</w:t>
        </w:r>
        <w:r w:rsidR="001F583E" w:rsidRPr="007D7B06">
          <w:rPr>
            <w:rFonts w:ascii="Arial" w:hAnsi="Arial" w:cs="Arial"/>
            <w:noProof/>
            <w:webHidden/>
          </w:rPr>
          <w:fldChar w:fldCharType="end"/>
        </w:r>
      </w:hyperlink>
    </w:p>
    <w:p w14:paraId="1C9853FC" w14:textId="77777777" w:rsidR="001F583E" w:rsidRPr="007D7B06" w:rsidRDefault="005B3AF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6560" w:history="1">
        <w:r w:rsidR="001F583E" w:rsidRPr="007D7B06">
          <w:rPr>
            <w:rStyle w:val="Hyperlink"/>
            <w:rFonts w:cs="Arial"/>
            <w:noProof/>
          </w:rPr>
          <w:t>1.3</w:t>
        </w:r>
        <w:r w:rsidR="001F583E" w:rsidRPr="007D7B06">
          <w:rPr>
            <w:rFonts w:ascii="Arial" w:eastAsiaTheme="minorEastAsia" w:hAnsi="Arial" w:cs="Arial"/>
            <w:smallCaps w:val="0"/>
            <w:noProof/>
            <w:sz w:val="22"/>
            <w:szCs w:val="22"/>
            <w:lang w:eastAsia="en-GB" w:bidi="ar-SA"/>
          </w:rPr>
          <w:tab/>
        </w:r>
        <w:r w:rsidR="001F583E" w:rsidRPr="007D7B06">
          <w:rPr>
            <w:rStyle w:val="Hyperlink"/>
            <w:rFonts w:cs="Arial"/>
            <w:noProof/>
          </w:rPr>
          <w:t>The current Standard</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_Toc454376560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4</w:t>
        </w:r>
        <w:r w:rsidR="001F583E" w:rsidRPr="007D7B06">
          <w:rPr>
            <w:rFonts w:ascii="Arial" w:hAnsi="Arial" w:cs="Arial"/>
            <w:noProof/>
            <w:webHidden/>
          </w:rPr>
          <w:fldChar w:fldCharType="end"/>
        </w:r>
      </w:hyperlink>
    </w:p>
    <w:p w14:paraId="1C9853FD" w14:textId="77777777" w:rsidR="001F583E" w:rsidRPr="007D7B06" w:rsidRDefault="005B3AF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6561" w:history="1">
        <w:r w:rsidR="001F583E" w:rsidRPr="007D7B06">
          <w:rPr>
            <w:rStyle w:val="Hyperlink"/>
            <w:rFonts w:cs="Arial"/>
            <w:noProof/>
            <w:u w:color="FFFF00"/>
          </w:rPr>
          <w:t>1.4</w:t>
        </w:r>
        <w:r w:rsidR="001F583E" w:rsidRPr="007D7B06">
          <w:rPr>
            <w:rFonts w:ascii="Arial" w:eastAsiaTheme="minorEastAsia" w:hAnsi="Arial" w:cs="Arial"/>
            <w:smallCaps w:val="0"/>
            <w:noProof/>
            <w:sz w:val="22"/>
            <w:szCs w:val="22"/>
            <w:lang w:eastAsia="en-GB" w:bidi="ar-SA"/>
          </w:rPr>
          <w:tab/>
        </w:r>
        <w:r w:rsidR="001F583E" w:rsidRPr="007D7B06">
          <w:rPr>
            <w:rStyle w:val="Hyperlink"/>
            <w:rFonts w:cs="Arial"/>
            <w:noProof/>
            <w:u w:color="FFFF00"/>
          </w:rPr>
          <w:t>Reasons for accepting Application</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_Toc454376561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4</w:t>
        </w:r>
        <w:r w:rsidR="001F583E" w:rsidRPr="007D7B06">
          <w:rPr>
            <w:rFonts w:ascii="Arial" w:hAnsi="Arial" w:cs="Arial"/>
            <w:noProof/>
            <w:webHidden/>
          </w:rPr>
          <w:fldChar w:fldCharType="end"/>
        </w:r>
      </w:hyperlink>
    </w:p>
    <w:p w14:paraId="1C9853FE" w14:textId="77777777" w:rsidR="001F583E" w:rsidRPr="007D7B06" w:rsidRDefault="005B3AF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6562" w:history="1">
        <w:r w:rsidR="001F583E" w:rsidRPr="007D7B06">
          <w:rPr>
            <w:rStyle w:val="Hyperlink"/>
            <w:rFonts w:cs="Arial"/>
            <w:noProof/>
          </w:rPr>
          <w:t>1.5</w:t>
        </w:r>
        <w:r w:rsidR="001F583E" w:rsidRPr="007D7B06">
          <w:rPr>
            <w:rFonts w:ascii="Arial" w:eastAsiaTheme="minorEastAsia" w:hAnsi="Arial" w:cs="Arial"/>
            <w:smallCaps w:val="0"/>
            <w:noProof/>
            <w:sz w:val="22"/>
            <w:szCs w:val="22"/>
            <w:lang w:eastAsia="en-GB" w:bidi="ar-SA"/>
          </w:rPr>
          <w:tab/>
        </w:r>
        <w:r w:rsidR="001F583E" w:rsidRPr="007D7B06">
          <w:rPr>
            <w:rStyle w:val="Hyperlink"/>
            <w:rFonts w:cs="Arial"/>
            <w:noProof/>
          </w:rPr>
          <w:t>Procedure for assessment</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_Toc454376562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5</w:t>
        </w:r>
        <w:r w:rsidR="001F583E" w:rsidRPr="007D7B06">
          <w:rPr>
            <w:rFonts w:ascii="Arial" w:hAnsi="Arial" w:cs="Arial"/>
            <w:noProof/>
            <w:webHidden/>
          </w:rPr>
          <w:fldChar w:fldCharType="end"/>
        </w:r>
      </w:hyperlink>
    </w:p>
    <w:p w14:paraId="1C9853FF" w14:textId="77777777" w:rsidR="001F583E" w:rsidRPr="007D7B06" w:rsidRDefault="005B3AF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54376563" w:history="1">
        <w:r w:rsidR="001F583E" w:rsidRPr="007D7B06">
          <w:rPr>
            <w:rStyle w:val="Hyperlink"/>
            <w:rFonts w:cs="Arial"/>
            <w:noProof/>
          </w:rPr>
          <w:t>2</w:t>
        </w:r>
        <w:r w:rsidR="001F583E" w:rsidRPr="007D7B06">
          <w:rPr>
            <w:rFonts w:ascii="Arial" w:eastAsiaTheme="minorEastAsia" w:hAnsi="Arial" w:cs="Arial"/>
            <w:b w:val="0"/>
            <w:bCs w:val="0"/>
            <w:caps w:val="0"/>
            <w:noProof/>
            <w:sz w:val="22"/>
            <w:szCs w:val="22"/>
            <w:lang w:eastAsia="en-GB" w:bidi="ar-SA"/>
          </w:rPr>
          <w:tab/>
        </w:r>
        <w:r w:rsidR="001F583E" w:rsidRPr="007D7B06">
          <w:rPr>
            <w:rStyle w:val="Hyperlink"/>
            <w:rFonts w:cs="Arial"/>
            <w:noProof/>
          </w:rPr>
          <w:t>Summary of the assessment</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_Toc454376563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5</w:t>
        </w:r>
        <w:r w:rsidR="001F583E" w:rsidRPr="007D7B06">
          <w:rPr>
            <w:rFonts w:ascii="Arial" w:hAnsi="Arial" w:cs="Arial"/>
            <w:noProof/>
            <w:webHidden/>
          </w:rPr>
          <w:fldChar w:fldCharType="end"/>
        </w:r>
      </w:hyperlink>
    </w:p>
    <w:p w14:paraId="1C985400" w14:textId="77777777" w:rsidR="001F583E" w:rsidRPr="007D7B06" w:rsidRDefault="005B3AF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6564" w:history="1">
        <w:r w:rsidR="001F583E" w:rsidRPr="007D7B06">
          <w:rPr>
            <w:rStyle w:val="Hyperlink"/>
            <w:rFonts w:cs="Arial"/>
            <w:noProof/>
          </w:rPr>
          <w:t>2.1</w:t>
        </w:r>
        <w:r w:rsidR="001F583E" w:rsidRPr="007D7B06">
          <w:rPr>
            <w:rFonts w:ascii="Arial" w:eastAsiaTheme="minorEastAsia" w:hAnsi="Arial" w:cs="Arial"/>
            <w:smallCaps w:val="0"/>
            <w:noProof/>
            <w:sz w:val="22"/>
            <w:szCs w:val="22"/>
            <w:lang w:eastAsia="en-GB" w:bidi="ar-SA"/>
          </w:rPr>
          <w:tab/>
        </w:r>
        <w:r w:rsidR="001F583E" w:rsidRPr="007D7B06">
          <w:rPr>
            <w:rStyle w:val="Hyperlink"/>
            <w:rFonts w:cs="Arial"/>
            <w:noProof/>
          </w:rPr>
          <w:t>Safety assessment</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_Toc454376564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5</w:t>
        </w:r>
        <w:r w:rsidR="001F583E" w:rsidRPr="007D7B06">
          <w:rPr>
            <w:rFonts w:ascii="Arial" w:hAnsi="Arial" w:cs="Arial"/>
            <w:noProof/>
            <w:webHidden/>
          </w:rPr>
          <w:fldChar w:fldCharType="end"/>
        </w:r>
      </w:hyperlink>
    </w:p>
    <w:p w14:paraId="1C985401" w14:textId="77777777" w:rsidR="001F583E" w:rsidRPr="007D7B06" w:rsidRDefault="005B3AF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6565" w:history="1">
        <w:r w:rsidR="001F583E" w:rsidRPr="007D7B06">
          <w:rPr>
            <w:rStyle w:val="Hyperlink"/>
            <w:rFonts w:cs="Arial"/>
            <w:noProof/>
          </w:rPr>
          <w:t>2.2</w:t>
        </w:r>
        <w:r w:rsidR="001F583E" w:rsidRPr="007D7B06">
          <w:rPr>
            <w:rFonts w:ascii="Arial" w:eastAsiaTheme="minorEastAsia" w:hAnsi="Arial" w:cs="Arial"/>
            <w:smallCaps w:val="0"/>
            <w:noProof/>
            <w:sz w:val="22"/>
            <w:szCs w:val="22"/>
            <w:lang w:eastAsia="en-GB" w:bidi="ar-SA"/>
          </w:rPr>
          <w:tab/>
        </w:r>
        <w:r w:rsidR="001F583E" w:rsidRPr="007D7B06">
          <w:rPr>
            <w:rStyle w:val="Hyperlink"/>
            <w:rFonts w:cs="Arial"/>
            <w:noProof/>
          </w:rPr>
          <w:t>Risk management</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_Toc454376565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5</w:t>
        </w:r>
        <w:r w:rsidR="001F583E" w:rsidRPr="007D7B06">
          <w:rPr>
            <w:rFonts w:ascii="Arial" w:hAnsi="Arial" w:cs="Arial"/>
            <w:noProof/>
            <w:webHidden/>
          </w:rPr>
          <w:fldChar w:fldCharType="end"/>
        </w:r>
      </w:hyperlink>
    </w:p>
    <w:p w14:paraId="1C985402" w14:textId="77777777" w:rsidR="001F583E" w:rsidRPr="007D7B06" w:rsidRDefault="005B3AF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4376566" w:history="1">
        <w:r w:rsidR="001F583E" w:rsidRPr="007D7B06">
          <w:rPr>
            <w:rStyle w:val="Hyperlink"/>
            <w:rFonts w:cs="Arial"/>
            <w:noProof/>
          </w:rPr>
          <w:t>2.2.1</w:t>
        </w:r>
        <w:r w:rsidR="001F583E" w:rsidRPr="007D7B06">
          <w:rPr>
            <w:rFonts w:ascii="Arial" w:eastAsiaTheme="minorEastAsia" w:hAnsi="Arial" w:cs="Arial"/>
            <w:i w:val="0"/>
            <w:iCs w:val="0"/>
            <w:noProof/>
            <w:sz w:val="22"/>
            <w:szCs w:val="22"/>
            <w:lang w:eastAsia="en-GB" w:bidi="ar-SA"/>
          </w:rPr>
          <w:tab/>
        </w:r>
        <w:r w:rsidR="001F583E" w:rsidRPr="007D7B06">
          <w:rPr>
            <w:rStyle w:val="Hyperlink"/>
            <w:rFonts w:cs="Arial"/>
            <w:noProof/>
          </w:rPr>
          <w:t>Labelling</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_Toc454376566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5</w:t>
        </w:r>
        <w:r w:rsidR="001F583E" w:rsidRPr="007D7B06">
          <w:rPr>
            <w:rFonts w:ascii="Arial" w:hAnsi="Arial" w:cs="Arial"/>
            <w:noProof/>
            <w:webHidden/>
          </w:rPr>
          <w:fldChar w:fldCharType="end"/>
        </w:r>
      </w:hyperlink>
    </w:p>
    <w:p w14:paraId="1C985403" w14:textId="77777777" w:rsidR="001F583E" w:rsidRPr="007D7B06" w:rsidRDefault="005B3AF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4376567" w:history="1">
        <w:r w:rsidR="001F583E" w:rsidRPr="007D7B06">
          <w:rPr>
            <w:rStyle w:val="Hyperlink"/>
            <w:rFonts w:cs="Arial"/>
            <w:noProof/>
          </w:rPr>
          <w:t>2.2.2</w:t>
        </w:r>
        <w:r w:rsidR="001F583E" w:rsidRPr="007D7B06">
          <w:rPr>
            <w:rFonts w:ascii="Arial" w:eastAsiaTheme="minorEastAsia" w:hAnsi="Arial" w:cs="Arial"/>
            <w:i w:val="0"/>
            <w:iCs w:val="0"/>
            <w:noProof/>
            <w:sz w:val="22"/>
            <w:szCs w:val="22"/>
            <w:lang w:eastAsia="en-GB" w:bidi="ar-SA"/>
          </w:rPr>
          <w:tab/>
        </w:r>
        <w:r w:rsidR="001F583E" w:rsidRPr="007D7B06">
          <w:rPr>
            <w:rStyle w:val="Hyperlink"/>
            <w:rFonts w:cs="Arial"/>
            <w:noProof/>
          </w:rPr>
          <w:t>Detection methodology</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_Toc454376567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5</w:t>
        </w:r>
        <w:r w:rsidR="001F583E" w:rsidRPr="007D7B06">
          <w:rPr>
            <w:rFonts w:ascii="Arial" w:hAnsi="Arial" w:cs="Arial"/>
            <w:noProof/>
            <w:webHidden/>
          </w:rPr>
          <w:fldChar w:fldCharType="end"/>
        </w:r>
      </w:hyperlink>
    </w:p>
    <w:p w14:paraId="1C985404" w14:textId="77777777" w:rsidR="001F583E" w:rsidRPr="007D7B06" w:rsidRDefault="005B3AF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6568" w:history="1">
        <w:r w:rsidR="001F583E" w:rsidRPr="007D7B06">
          <w:rPr>
            <w:rStyle w:val="Hyperlink"/>
            <w:rFonts w:cs="Arial"/>
            <w:noProof/>
          </w:rPr>
          <w:t>2.3</w:t>
        </w:r>
        <w:r w:rsidR="001F583E" w:rsidRPr="007D7B06">
          <w:rPr>
            <w:rFonts w:ascii="Arial" w:eastAsiaTheme="minorEastAsia" w:hAnsi="Arial" w:cs="Arial"/>
            <w:smallCaps w:val="0"/>
            <w:noProof/>
            <w:sz w:val="22"/>
            <w:szCs w:val="22"/>
            <w:lang w:eastAsia="en-GB" w:bidi="ar-SA"/>
          </w:rPr>
          <w:tab/>
        </w:r>
        <w:r w:rsidR="001F583E" w:rsidRPr="007D7B06">
          <w:rPr>
            <w:rStyle w:val="Hyperlink"/>
            <w:rFonts w:cs="Arial"/>
            <w:noProof/>
          </w:rPr>
          <w:t>Risk communication</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_Toc454376568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6</w:t>
        </w:r>
        <w:r w:rsidR="001F583E" w:rsidRPr="007D7B06">
          <w:rPr>
            <w:rFonts w:ascii="Arial" w:hAnsi="Arial" w:cs="Arial"/>
            <w:noProof/>
            <w:webHidden/>
          </w:rPr>
          <w:fldChar w:fldCharType="end"/>
        </w:r>
      </w:hyperlink>
    </w:p>
    <w:p w14:paraId="1C985405" w14:textId="77777777" w:rsidR="001F583E" w:rsidRPr="007D7B06" w:rsidRDefault="005B3AF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4376569" w:history="1">
        <w:r w:rsidR="001F583E" w:rsidRPr="007D7B06">
          <w:rPr>
            <w:rStyle w:val="Hyperlink"/>
            <w:rFonts w:cs="Arial"/>
            <w:noProof/>
          </w:rPr>
          <w:t>2.3.1</w:t>
        </w:r>
        <w:r w:rsidR="001F583E" w:rsidRPr="007D7B06">
          <w:rPr>
            <w:rFonts w:ascii="Arial" w:eastAsiaTheme="minorEastAsia" w:hAnsi="Arial" w:cs="Arial"/>
            <w:i w:val="0"/>
            <w:iCs w:val="0"/>
            <w:noProof/>
            <w:sz w:val="22"/>
            <w:szCs w:val="22"/>
            <w:lang w:eastAsia="en-GB" w:bidi="ar-SA"/>
          </w:rPr>
          <w:tab/>
        </w:r>
        <w:r w:rsidR="001F583E" w:rsidRPr="007D7B06">
          <w:rPr>
            <w:rStyle w:val="Hyperlink"/>
            <w:rFonts w:cs="Arial"/>
            <w:noProof/>
          </w:rPr>
          <w:t>Consultation</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_Toc454376569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6</w:t>
        </w:r>
        <w:r w:rsidR="001F583E" w:rsidRPr="007D7B06">
          <w:rPr>
            <w:rFonts w:ascii="Arial" w:hAnsi="Arial" w:cs="Arial"/>
            <w:noProof/>
            <w:webHidden/>
          </w:rPr>
          <w:fldChar w:fldCharType="end"/>
        </w:r>
      </w:hyperlink>
    </w:p>
    <w:p w14:paraId="1C985406" w14:textId="77777777" w:rsidR="001F583E" w:rsidRPr="007D7B06" w:rsidRDefault="005B3AF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4376570" w:history="1">
        <w:r w:rsidR="001F583E" w:rsidRPr="007D7B06">
          <w:rPr>
            <w:rStyle w:val="Hyperlink"/>
            <w:rFonts w:cs="Arial"/>
            <w:noProof/>
          </w:rPr>
          <w:t>2.3.2</w:t>
        </w:r>
        <w:r w:rsidR="001F583E" w:rsidRPr="007D7B06">
          <w:rPr>
            <w:rFonts w:ascii="Arial" w:eastAsiaTheme="minorEastAsia" w:hAnsi="Arial" w:cs="Arial"/>
            <w:i w:val="0"/>
            <w:iCs w:val="0"/>
            <w:noProof/>
            <w:sz w:val="22"/>
            <w:szCs w:val="22"/>
            <w:lang w:eastAsia="en-GB" w:bidi="ar-SA"/>
          </w:rPr>
          <w:tab/>
        </w:r>
        <w:r w:rsidR="001F583E" w:rsidRPr="007D7B06">
          <w:rPr>
            <w:rStyle w:val="Hyperlink"/>
            <w:rFonts w:cs="Arial"/>
            <w:noProof/>
          </w:rPr>
          <w:t>World Trade Organization (WTO)</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_Toc454376570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6</w:t>
        </w:r>
        <w:r w:rsidR="001F583E" w:rsidRPr="007D7B06">
          <w:rPr>
            <w:rFonts w:ascii="Arial" w:hAnsi="Arial" w:cs="Arial"/>
            <w:noProof/>
            <w:webHidden/>
          </w:rPr>
          <w:fldChar w:fldCharType="end"/>
        </w:r>
      </w:hyperlink>
    </w:p>
    <w:p w14:paraId="1C985407" w14:textId="77777777" w:rsidR="001F583E" w:rsidRPr="007D7B06" w:rsidRDefault="005B3AF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6571" w:history="1">
        <w:r w:rsidR="001F583E" w:rsidRPr="007D7B06">
          <w:rPr>
            <w:rStyle w:val="Hyperlink"/>
            <w:rFonts w:cs="Arial"/>
            <w:noProof/>
          </w:rPr>
          <w:t>2.4</w:t>
        </w:r>
        <w:r w:rsidR="001F583E" w:rsidRPr="007D7B06">
          <w:rPr>
            <w:rFonts w:ascii="Arial" w:eastAsiaTheme="minorEastAsia" w:hAnsi="Arial" w:cs="Arial"/>
            <w:smallCaps w:val="0"/>
            <w:noProof/>
            <w:sz w:val="22"/>
            <w:szCs w:val="22"/>
            <w:lang w:eastAsia="en-GB" w:bidi="ar-SA"/>
          </w:rPr>
          <w:tab/>
        </w:r>
        <w:r w:rsidR="001F583E" w:rsidRPr="007D7B06">
          <w:rPr>
            <w:rStyle w:val="Hyperlink"/>
            <w:rFonts w:cs="Arial"/>
            <w:noProof/>
          </w:rPr>
          <w:t>FSANZ Act assessment requirements</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_Toc454376571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6</w:t>
        </w:r>
        <w:r w:rsidR="001F583E" w:rsidRPr="007D7B06">
          <w:rPr>
            <w:rFonts w:ascii="Arial" w:hAnsi="Arial" w:cs="Arial"/>
            <w:noProof/>
            <w:webHidden/>
          </w:rPr>
          <w:fldChar w:fldCharType="end"/>
        </w:r>
      </w:hyperlink>
    </w:p>
    <w:p w14:paraId="1C985408" w14:textId="77777777" w:rsidR="001F583E" w:rsidRPr="007D7B06" w:rsidRDefault="005B3AF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4376572" w:history="1">
        <w:r w:rsidR="001F583E" w:rsidRPr="007D7B06">
          <w:rPr>
            <w:rStyle w:val="Hyperlink"/>
            <w:rFonts w:cs="Arial"/>
            <w:noProof/>
          </w:rPr>
          <w:t>2.4.1</w:t>
        </w:r>
        <w:r w:rsidR="001F583E" w:rsidRPr="007D7B06">
          <w:rPr>
            <w:rFonts w:ascii="Arial" w:eastAsiaTheme="minorEastAsia" w:hAnsi="Arial" w:cs="Arial"/>
            <w:i w:val="0"/>
            <w:iCs w:val="0"/>
            <w:noProof/>
            <w:sz w:val="22"/>
            <w:szCs w:val="22"/>
            <w:lang w:eastAsia="en-GB" w:bidi="ar-SA"/>
          </w:rPr>
          <w:tab/>
        </w:r>
        <w:r w:rsidR="001F583E" w:rsidRPr="007D7B06">
          <w:rPr>
            <w:rStyle w:val="Hyperlink"/>
            <w:rFonts w:cs="Arial"/>
            <w:noProof/>
          </w:rPr>
          <w:t>Section 29</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_Toc454376572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6</w:t>
        </w:r>
        <w:r w:rsidR="001F583E" w:rsidRPr="007D7B06">
          <w:rPr>
            <w:rFonts w:ascii="Arial" w:hAnsi="Arial" w:cs="Arial"/>
            <w:noProof/>
            <w:webHidden/>
          </w:rPr>
          <w:fldChar w:fldCharType="end"/>
        </w:r>
      </w:hyperlink>
    </w:p>
    <w:p w14:paraId="1C985409" w14:textId="77777777" w:rsidR="001F583E" w:rsidRPr="007D7B06" w:rsidRDefault="005B3AF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4376573" w:history="1">
        <w:r w:rsidR="001F583E" w:rsidRPr="007D7B06">
          <w:rPr>
            <w:rStyle w:val="Hyperlink"/>
            <w:rFonts w:cs="Arial"/>
            <w:noProof/>
          </w:rPr>
          <w:t>2.4.2</w:t>
        </w:r>
        <w:r w:rsidR="001F583E" w:rsidRPr="007D7B06">
          <w:rPr>
            <w:rFonts w:ascii="Arial" w:eastAsiaTheme="minorEastAsia" w:hAnsi="Arial" w:cs="Arial"/>
            <w:i w:val="0"/>
            <w:iCs w:val="0"/>
            <w:noProof/>
            <w:sz w:val="22"/>
            <w:szCs w:val="22"/>
            <w:lang w:eastAsia="en-GB" w:bidi="ar-SA"/>
          </w:rPr>
          <w:tab/>
        </w:r>
        <w:r w:rsidR="001F583E" w:rsidRPr="007D7B06">
          <w:rPr>
            <w:rStyle w:val="Hyperlink"/>
            <w:rFonts w:cs="Arial"/>
            <w:noProof/>
          </w:rPr>
          <w:t>Subsection 18(1)</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_Toc454376573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9</w:t>
        </w:r>
        <w:r w:rsidR="001F583E" w:rsidRPr="007D7B06">
          <w:rPr>
            <w:rFonts w:ascii="Arial" w:hAnsi="Arial" w:cs="Arial"/>
            <w:noProof/>
            <w:webHidden/>
          </w:rPr>
          <w:fldChar w:fldCharType="end"/>
        </w:r>
      </w:hyperlink>
    </w:p>
    <w:p w14:paraId="1C98540A" w14:textId="77777777" w:rsidR="001F583E" w:rsidRPr="007D7B06" w:rsidRDefault="005B3AF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4376574" w:history="1">
        <w:r w:rsidR="001F583E" w:rsidRPr="007D7B06">
          <w:rPr>
            <w:rStyle w:val="Hyperlink"/>
            <w:rFonts w:cs="Arial"/>
            <w:noProof/>
          </w:rPr>
          <w:t>2.4.3</w:t>
        </w:r>
        <w:r w:rsidR="001F583E" w:rsidRPr="007D7B06">
          <w:rPr>
            <w:rFonts w:ascii="Arial" w:eastAsiaTheme="minorEastAsia" w:hAnsi="Arial" w:cs="Arial"/>
            <w:i w:val="0"/>
            <w:iCs w:val="0"/>
            <w:noProof/>
            <w:sz w:val="22"/>
            <w:szCs w:val="22"/>
            <w:lang w:eastAsia="en-GB" w:bidi="ar-SA"/>
          </w:rPr>
          <w:tab/>
        </w:r>
        <w:r w:rsidR="001F583E" w:rsidRPr="007D7B06">
          <w:rPr>
            <w:rStyle w:val="Hyperlink"/>
            <w:rFonts w:cs="Arial"/>
            <w:noProof/>
          </w:rPr>
          <w:t>Subsection 18(2) considerations</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_Toc454376574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9</w:t>
        </w:r>
        <w:r w:rsidR="001F583E" w:rsidRPr="007D7B06">
          <w:rPr>
            <w:rFonts w:ascii="Arial" w:hAnsi="Arial" w:cs="Arial"/>
            <w:noProof/>
            <w:webHidden/>
          </w:rPr>
          <w:fldChar w:fldCharType="end"/>
        </w:r>
      </w:hyperlink>
    </w:p>
    <w:p w14:paraId="1C98540B" w14:textId="77777777" w:rsidR="001F583E" w:rsidRPr="007D7B06" w:rsidRDefault="005B3AF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54376575" w:history="1">
        <w:r w:rsidR="001F583E" w:rsidRPr="007D7B06">
          <w:rPr>
            <w:rStyle w:val="Hyperlink"/>
            <w:rFonts w:cs="Arial"/>
            <w:noProof/>
          </w:rPr>
          <w:t>3</w:t>
        </w:r>
        <w:r w:rsidR="001F583E" w:rsidRPr="007D7B06">
          <w:rPr>
            <w:rFonts w:ascii="Arial" w:eastAsiaTheme="minorEastAsia" w:hAnsi="Arial" w:cs="Arial"/>
            <w:b w:val="0"/>
            <w:bCs w:val="0"/>
            <w:caps w:val="0"/>
            <w:noProof/>
            <w:sz w:val="22"/>
            <w:szCs w:val="22"/>
            <w:lang w:eastAsia="en-GB" w:bidi="ar-SA"/>
          </w:rPr>
          <w:tab/>
        </w:r>
        <w:r w:rsidR="001F583E" w:rsidRPr="007D7B06">
          <w:rPr>
            <w:rStyle w:val="Hyperlink"/>
            <w:rFonts w:cs="Arial"/>
            <w:noProof/>
          </w:rPr>
          <w:t>Draft variation</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_Toc454376575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10</w:t>
        </w:r>
        <w:r w:rsidR="001F583E" w:rsidRPr="007D7B06">
          <w:rPr>
            <w:rFonts w:ascii="Arial" w:hAnsi="Arial" w:cs="Arial"/>
            <w:noProof/>
            <w:webHidden/>
          </w:rPr>
          <w:fldChar w:fldCharType="end"/>
        </w:r>
      </w:hyperlink>
    </w:p>
    <w:p w14:paraId="1C98540C" w14:textId="77777777" w:rsidR="001F583E" w:rsidRPr="007D7B06" w:rsidRDefault="005B3AF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54376576" w:history="1">
        <w:r w:rsidR="001F583E" w:rsidRPr="007D7B06">
          <w:rPr>
            <w:rStyle w:val="Hyperlink"/>
            <w:rFonts w:cs="Arial"/>
            <w:noProof/>
          </w:rPr>
          <w:t>4</w:t>
        </w:r>
        <w:r w:rsidR="001F583E" w:rsidRPr="007D7B06">
          <w:rPr>
            <w:rFonts w:ascii="Arial" w:eastAsiaTheme="minorEastAsia" w:hAnsi="Arial" w:cs="Arial"/>
            <w:b w:val="0"/>
            <w:bCs w:val="0"/>
            <w:caps w:val="0"/>
            <w:noProof/>
            <w:sz w:val="22"/>
            <w:szCs w:val="22"/>
            <w:lang w:eastAsia="en-GB" w:bidi="ar-SA"/>
          </w:rPr>
          <w:tab/>
        </w:r>
        <w:r w:rsidR="001F583E" w:rsidRPr="007D7B06">
          <w:rPr>
            <w:rStyle w:val="Hyperlink"/>
            <w:rFonts w:cs="Arial"/>
            <w:noProof/>
          </w:rPr>
          <w:t>References</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_Toc454376576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10</w:t>
        </w:r>
        <w:r w:rsidR="001F583E" w:rsidRPr="007D7B06">
          <w:rPr>
            <w:rFonts w:ascii="Arial" w:hAnsi="Arial" w:cs="Arial"/>
            <w:noProof/>
            <w:webHidden/>
          </w:rPr>
          <w:fldChar w:fldCharType="end"/>
        </w:r>
      </w:hyperlink>
    </w:p>
    <w:p w14:paraId="1C98540D" w14:textId="77777777" w:rsidR="001F583E" w:rsidRPr="007D7B06" w:rsidRDefault="005B3AFC">
      <w:pPr>
        <w:pStyle w:val="TOC2"/>
        <w:tabs>
          <w:tab w:val="right" w:leader="dot" w:pos="9060"/>
        </w:tabs>
        <w:rPr>
          <w:rFonts w:ascii="Arial" w:eastAsiaTheme="minorEastAsia" w:hAnsi="Arial" w:cs="Arial"/>
          <w:smallCaps w:val="0"/>
          <w:noProof/>
          <w:sz w:val="22"/>
          <w:szCs w:val="22"/>
          <w:lang w:eastAsia="en-GB" w:bidi="ar-SA"/>
        </w:rPr>
      </w:pPr>
      <w:hyperlink w:anchor="_Toc454376577" w:history="1">
        <w:r w:rsidR="001F583E" w:rsidRPr="007D7B06">
          <w:rPr>
            <w:rStyle w:val="Hyperlink"/>
            <w:rFonts w:cs="Arial"/>
            <w:noProof/>
          </w:rPr>
          <w:t xml:space="preserve">Attachment A – Draft variation to the </w:t>
        </w:r>
        <w:r w:rsidR="001F583E" w:rsidRPr="007D7B06">
          <w:rPr>
            <w:rStyle w:val="Hyperlink"/>
            <w:rFonts w:cs="Arial"/>
            <w:i/>
            <w:noProof/>
          </w:rPr>
          <w:t>Australia New Zealand Food Standards Code</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_Toc454376577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12</w:t>
        </w:r>
        <w:r w:rsidR="001F583E" w:rsidRPr="007D7B06">
          <w:rPr>
            <w:rFonts w:ascii="Arial" w:hAnsi="Arial" w:cs="Arial"/>
            <w:noProof/>
            <w:webHidden/>
          </w:rPr>
          <w:fldChar w:fldCharType="end"/>
        </w:r>
      </w:hyperlink>
    </w:p>
    <w:p w14:paraId="1C98540E" w14:textId="77777777" w:rsidR="001F583E" w:rsidRPr="007D7B06" w:rsidRDefault="005B3AFC">
      <w:pPr>
        <w:pStyle w:val="TOC2"/>
        <w:tabs>
          <w:tab w:val="right" w:leader="dot" w:pos="9060"/>
        </w:tabs>
        <w:rPr>
          <w:rFonts w:ascii="Arial" w:eastAsiaTheme="minorEastAsia" w:hAnsi="Arial" w:cs="Arial"/>
          <w:smallCaps w:val="0"/>
          <w:noProof/>
          <w:sz w:val="22"/>
          <w:szCs w:val="22"/>
          <w:lang w:eastAsia="en-GB" w:bidi="ar-SA"/>
        </w:rPr>
      </w:pPr>
      <w:hyperlink w:anchor="_Toc454376578" w:history="1">
        <w:r w:rsidR="001F583E" w:rsidRPr="007D7B06">
          <w:rPr>
            <w:rStyle w:val="Hyperlink"/>
            <w:rFonts w:cs="Arial"/>
            <w:noProof/>
          </w:rPr>
          <w:t>Attachment B – Draft Explanatory Statement</w:t>
        </w:r>
        <w:r w:rsidR="001F583E" w:rsidRPr="007D7B06">
          <w:rPr>
            <w:rFonts w:ascii="Arial" w:hAnsi="Arial" w:cs="Arial"/>
            <w:noProof/>
            <w:webHidden/>
          </w:rPr>
          <w:tab/>
        </w:r>
        <w:r w:rsidR="001F583E" w:rsidRPr="007D7B06">
          <w:rPr>
            <w:rFonts w:ascii="Arial" w:hAnsi="Arial" w:cs="Arial"/>
            <w:noProof/>
            <w:webHidden/>
          </w:rPr>
          <w:fldChar w:fldCharType="begin"/>
        </w:r>
        <w:r w:rsidR="001F583E" w:rsidRPr="007D7B06">
          <w:rPr>
            <w:rFonts w:ascii="Arial" w:hAnsi="Arial" w:cs="Arial"/>
            <w:noProof/>
            <w:webHidden/>
          </w:rPr>
          <w:instrText xml:space="preserve"> PAGEREF _Toc454376578 \h </w:instrText>
        </w:r>
        <w:r w:rsidR="001F583E" w:rsidRPr="007D7B06">
          <w:rPr>
            <w:rFonts w:ascii="Arial" w:hAnsi="Arial" w:cs="Arial"/>
            <w:noProof/>
            <w:webHidden/>
          </w:rPr>
        </w:r>
        <w:r w:rsidR="001F583E" w:rsidRPr="007D7B06">
          <w:rPr>
            <w:rFonts w:ascii="Arial" w:hAnsi="Arial" w:cs="Arial"/>
            <w:noProof/>
            <w:webHidden/>
          </w:rPr>
          <w:fldChar w:fldCharType="separate"/>
        </w:r>
        <w:r w:rsidR="001F583E" w:rsidRPr="007D7B06">
          <w:rPr>
            <w:rFonts w:ascii="Arial" w:hAnsi="Arial" w:cs="Arial"/>
            <w:noProof/>
            <w:webHidden/>
          </w:rPr>
          <w:t>14</w:t>
        </w:r>
        <w:r w:rsidR="001F583E" w:rsidRPr="007D7B06">
          <w:rPr>
            <w:rFonts w:ascii="Arial" w:hAnsi="Arial" w:cs="Arial"/>
            <w:noProof/>
            <w:webHidden/>
          </w:rPr>
          <w:fldChar w:fldCharType="end"/>
        </w:r>
      </w:hyperlink>
    </w:p>
    <w:p w14:paraId="1C98540F" w14:textId="77777777" w:rsidR="00051ED9" w:rsidRPr="0059227F" w:rsidRDefault="00051ED9" w:rsidP="00051ED9">
      <w:pPr>
        <w:rPr>
          <w:rFonts w:cs="Arial"/>
        </w:rPr>
      </w:pPr>
      <w:r w:rsidRPr="007D7B06">
        <w:rPr>
          <w:rFonts w:cs="Arial"/>
          <w:sz w:val="20"/>
          <w:szCs w:val="20"/>
        </w:rPr>
        <w:fldChar w:fldCharType="end"/>
      </w:r>
    </w:p>
    <w:p w14:paraId="1C985410" w14:textId="77777777" w:rsidR="00D73931" w:rsidRPr="00E203C2" w:rsidRDefault="00D73931" w:rsidP="00051ED9"/>
    <w:p w14:paraId="1C985411" w14:textId="77777777" w:rsidR="0037520F" w:rsidRPr="008844E4" w:rsidRDefault="0037520F" w:rsidP="0037520F">
      <w:pPr>
        <w:rPr>
          <w:b/>
          <w:szCs w:val="22"/>
        </w:rPr>
      </w:pPr>
      <w:r w:rsidRPr="008844E4">
        <w:rPr>
          <w:b/>
          <w:szCs w:val="22"/>
        </w:rPr>
        <w:t>Supporting documents</w:t>
      </w:r>
    </w:p>
    <w:p w14:paraId="1C985412" w14:textId="77777777" w:rsidR="0037520F" w:rsidRPr="0089264A" w:rsidRDefault="0037520F" w:rsidP="0037520F">
      <w:pPr>
        <w:rPr>
          <w:szCs w:val="22"/>
        </w:rPr>
      </w:pPr>
    </w:p>
    <w:p w14:paraId="1C985413" w14:textId="0AD78099" w:rsidR="0037520F" w:rsidRDefault="0037520F" w:rsidP="0037520F">
      <w:pPr>
        <w:rPr>
          <w:color w:val="000000" w:themeColor="text1"/>
          <w:szCs w:val="22"/>
        </w:rPr>
      </w:pPr>
      <w:r w:rsidRPr="002933AF">
        <w:rPr>
          <w:color w:val="000000" w:themeColor="text1"/>
          <w:szCs w:val="22"/>
        </w:rPr>
        <w:t xml:space="preserve">The following documents </w:t>
      </w:r>
      <w:r w:rsidR="00681754" w:rsidRPr="002933AF">
        <w:rPr>
          <w:color w:val="000000" w:themeColor="text1"/>
          <w:szCs w:val="22"/>
        </w:rPr>
        <w:t xml:space="preserve">which informed the assessment of this </w:t>
      </w:r>
      <w:r w:rsidR="00AD6580" w:rsidRPr="002933AF">
        <w:rPr>
          <w:color w:val="000000" w:themeColor="text1"/>
          <w:szCs w:val="22"/>
        </w:rPr>
        <w:t>Application</w:t>
      </w:r>
      <w:r w:rsidRPr="002933AF">
        <w:rPr>
          <w:color w:val="000000" w:themeColor="text1"/>
          <w:szCs w:val="22"/>
        </w:rPr>
        <w:t xml:space="preserve"> are available on the FSANZ website at </w:t>
      </w:r>
      <w:hyperlink r:id="rId21" w:history="1">
        <w:r w:rsidR="002933AF" w:rsidRPr="003E0176">
          <w:rPr>
            <w:rStyle w:val="Hyperlink"/>
            <w:szCs w:val="22"/>
          </w:rPr>
          <w:t>http://www.foodstandards.gov.au/code/applications/Pages/A1128GMPotatoE12.aspx</w:t>
        </w:r>
      </w:hyperlink>
    </w:p>
    <w:p w14:paraId="18CA7C91" w14:textId="77777777" w:rsidR="002933AF" w:rsidRPr="002933AF" w:rsidRDefault="002933AF" w:rsidP="0037520F">
      <w:pPr>
        <w:rPr>
          <w:color w:val="000000" w:themeColor="text1"/>
          <w:szCs w:val="22"/>
        </w:rPr>
      </w:pPr>
    </w:p>
    <w:p w14:paraId="1C985414" w14:textId="77777777" w:rsidR="0089264A" w:rsidRPr="0089264A" w:rsidRDefault="0089264A" w:rsidP="0089264A">
      <w:pPr>
        <w:rPr>
          <w:szCs w:val="22"/>
        </w:rPr>
      </w:pPr>
    </w:p>
    <w:p w14:paraId="1C985415" w14:textId="77777777" w:rsidR="0089264A" w:rsidRPr="002933AF" w:rsidRDefault="00AD6580" w:rsidP="003A7725">
      <w:pPr>
        <w:ind w:left="1134" w:hanging="1134"/>
        <w:rPr>
          <w:color w:val="000000" w:themeColor="text1"/>
        </w:rPr>
      </w:pPr>
      <w:r w:rsidRPr="002933AF">
        <w:rPr>
          <w:color w:val="000000" w:themeColor="text1"/>
        </w:rPr>
        <w:t>SD1</w:t>
      </w:r>
      <w:r w:rsidRPr="002933AF">
        <w:rPr>
          <w:color w:val="000000" w:themeColor="text1"/>
        </w:rPr>
        <w:tab/>
        <w:t>Safety Assessment Report</w:t>
      </w:r>
    </w:p>
    <w:p w14:paraId="1C985416" w14:textId="77777777" w:rsidR="00051ED9" w:rsidRDefault="00562917" w:rsidP="00772BDC">
      <w:r w:rsidRPr="00E203C2">
        <w:br w:type="page"/>
      </w:r>
    </w:p>
    <w:p w14:paraId="1C985417" w14:textId="77777777" w:rsidR="00E063C6" w:rsidRDefault="00F33BB8" w:rsidP="000A5DF8">
      <w:pPr>
        <w:pStyle w:val="Heading1"/>
      </w:pPr>
      <w:bookmarkStart w:id="1" w:name="_Toc286391001"/>
      <w:bookmarkStart w:id="2" w:name="_Toc300933414"/>
      <w:bookmarkStart w:id="3" w:name="_Toc454376556"/>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1C985418" w14:textId="3AE6DBD1" w:rsidR="00C05A9F" w:rsidRPr="002933AF" w:rsidRDefault="00C05A9F" w:rsidP="00C05A9F">
      <w:pPr>
        <w:rPr>
          <w:color w:val="000000" w:themeColor="text1"/>
          <w:lang w:bidi="ar-SA"/>
        </w:rPr>
      </w:pPr>
      <w:r w:rsidRPr="002933AF">
        <w:rPr>
          <w:color w:val="000000" w:themeColor="text1"/>
          <w:lang w:bidi="ar-SA"/>
        </w:rPr>
        <w:t xml:space="preserve">Food Standards Australia New Zealand (FSANZ) received an Application from SPS International Inc on 25 February 2016. The Applicant requested a variation to permit the sale and use of food derived from </w:t>
      </w:r>
      <w:r w:rsidR="009874AD" w:rsidRPr="002933AF">
        <w:rPr>
          <w:color w:val="000000" w:themeColor="text1"/>
          <w:lang w:bidi="ar-SA"/>
        </w:rPr>
        <w:t xml:space="preserve">a </w:t>
      </w:r>
      <w:r w:rsidRPr="002933AF">
        <w:rPr>
          <w:color w:val="000000" w:themeColor="text1"/>
          <w:lang w:bidi="ar-SA"/>
        </w:rPr>
        <w:t>genetically modified</w:t>
      </w:r>
      <w:r w:rsidR="009874AD" w:rsidRPr="002933AF">
        <w:rPr>
          <w:color w:val="000000" w:themeColor="text1"/>
          <w:lang w:bidi="ar-SA"/>
        </w:rPr>
        <w:t xml:space="preserve"> (GM)</w:t>
      </w:r>
      <w:r w:rsidRPr="002933AF">
        <w:rPr>
          <w:color w:val="000000" w:themeColor="text1"/>
          <w:lang w:bidi="ar-SA"/>
        </w:rPr>
        <w:t xml:space="preserve"> potato line which has reduced acrylamide potential and reduced browning (blackspot bruise). </w:t>
      </w:r>
    </w:p>
    <w:p w14:paraId="1C985419" w14:textId="77777777" w:rsidR="00C05A9F" w:rsidRPr="002933AF" w:rsidRDefault="00C05A9F" w:rsidP="00C05A9F">
      <w:pPr>
        <w:rPr>
          <w:color w:val="000000" w:themeColor="text1"/>
          <w:lang w:bidi="ar-SA"/>
        </w:rPr>
      </w:pPr>
    </w:p>
    <w:p w14:paraId="1C98541A" w14:textId="77777777" w:rsidR="00C05A9F" w:rsidRPr="002933AF" w:rsidRDefault="00C05A9F" w:rsidP="00C05A9F">
      <w:pPr>
        <w:rPr>
          <w:color w:val="000000" w:themeColor="text1"/>
          <w:lang w:bidi="ar-SA"/>
        </w:rPr>
      </w:pPr>
      <w:r w:rsidRPr="002933AF">
        <w:rPr>
          <w:color w:val="000000" w:themeColor="text1"/>
          <w:lang w:bidi="ar-SA"/>
        </w:rPr>
        <w:t>This Application is being assessed under the General Procedure.</w:t>
      </w:r>
    </w:p>
    <w:p w14:paraId="1C98541B" w14:textId="77777777" w:rsidR="00C05A9F" w:rsidRPr="002933AF" w:rsidRDefault="00C05A9F" w:rsidP="00C05A9F">
      <w:pPr>
        <w:rPr>
          <w:color w:val="000000" w:themeColor="text1"/>
          <w:lang w:bidi="ar-SA"/>
        </w:rPr>
      </w:pPr>
    </w:p>
    <w:p w14:paraId="1C98541C" w14:textId="77777777" w:rsidR="00C05A9F" w:rsidRPr="002933AF" w:rsidRDefault="00C05A9F" w:rsidP="00C05A9F">
      <w:pPr>
        <w:rPr>
          <w:color w:val="000000" w:themeColor="text1"/>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 is a central part of considering an application.</w:t>
      </w:r>
    </w:p>
    <w:p w14:paraId="1C98541D" w14:textId="77777777" w:rsidR="00C05A9F" w:rsidRPr="002933AF" w:rsidRDefault="00C05A9F" w:rsidP="00C05A9F">
      <w:pPr>
        <w:rPr>
          <w:color w:val="000000" w:themeColor="text1"/>
          <w:lang w:bidi="ar-SA"/>
        </w:rPr>
      </w:pPr>
    </w:p>
    <w:p w14:paraId="1C98541E" w14:textId="77777777" w:rsidR="00C05A9F" w:rsidRPr="002933AF" w:rsidRDefault="00C05A9F" w:rsidP="00C05A9F">
      <w:pPr>
        <w:rPr>
          <w:color w:val="000000" w:themeColor="text1"/>
          <w:lang w:bidi="ar-SA"/>
        </w:rPr>
      </w:pPr>
      <w:r w:rsidRPr="002933AF">
        <w:rPr>
          <w:color w:val="000000" w:themeColor="text1"/>
          <w:lang w:bidi="ar-SA"/>
        </w:rPr>
        <w:t xml:space="preserve">The safety assessment of </w:t>
      </w:r>
      <w:r w:rsidR="009874AD" w:rsidRPr="002933AF">
        <w:rPr>
          <w:color w:val="000000" w:themeColor="text1"/>
          <w:lang w:bidi="ar-SA"/>
        </w:rPr>
        <w:t xml:space="preserve">the GM potato line E12 </w:t>
      </w:r>
      <w:r w:rsidRPr="002933AF">
        <w:rPr>
          <w:color w:val="000000" w:themeColor="text1"/>
          <w:lang w:bidi="ar-SA"/>
        </w:rPr>
        <w:t xml:space="preserve">is provided in Supporting Document 1. No potential public health and safety concerns have been identified. Based on the data provided in the present Application, and other available information, food derived from line </w:t>
      </w:r>
      <w:r w:rsidR="009874AD" w:rsidRPr="002933AF">
        <w:rPr>
          <w:color w:val="000000" w:themeColor="text1"/>
          <w:lang w:bidi="ar-SA"/>
        </w:rPr>
        <w:t>E12</w:t>
      </w:r>
      <w:r w:rsidRPr="002933AF">
        <w:rPr>
          <w:color w:val="000000" w:themeColor="text1"/>
          <w:lang w:bidi="ar-SA"/>
        </w:rPr>
        <w:t xml:space="preserve"> is considered to be as safe for human consumption as food derived from </w:t>
      </w:r>
      <w:r w:rsidR="009874AD" w:rsidRPr="002933AF">
        <w:rPr>
          <w:color w:val="000000" w:themeColor="text1"/>
          <w:lang w:bidi="ar-SA"/>
        </w:rPr>
        <w:t>conventional potato</w:t>
      </w:r>
      <w:r w:rsidRPr="002933AF">
        <w:rPr>
          <w:color w:val="000000" w:themeColor="text1"/>
          <w:lang w:bidi="ar-SA"/>
        </w:rPr>
        <w:t xml:space="preserve"> cultivars.</w:t>
      </w:r>
    </w:p>
    <w:p w14:paraId="1C98541F" w14:textId="77777777" w:rsidR="00C05A9F" w:rsidRPr="002933AF" w:rsidRDefault="00C05A9F" w:rsidP="00C05A9F">
      <w:pPr>
        <w:rPr>
          <w:color w:val="000000" w:themeColor="text1"/>
          <w:lang w:bidi="ar-SA"/>
        </w:rPr>
      </w:pPr>
    </w:p>
    <w:p w14:paraId="1C985420" w14:textId="0156BC7A" w:rsidR="00D73931" w:rsidRPr="002933AF" w:rsidRDefault="00C05A9F" w:rsidP="00C05A9F">
      <w:pPr>
        <w:rPr>
          <w:color w:val="000000" w:themeColor="text1"/>
          <w:lang w:bidi="ar-SA"/>
        </w:rPr>
      </w:pPr>
      <w:r w:rsidRPr="002933AF">
        <w:rPr>
          <w:color w:val="000000" w:themeColor="text1"/>
          <w:lang w:bidi="ar-SA"/>
        </w:rPr>
        <w:t>FSANZ ha</w:t>
      </w:r>
      <w:r w:rsidR="009874AD" w:rsidRPr="002933AF">
        <w:rPr>
          <w:color w:val="000000" w:themeColor="text1"/>
          <w:lang w:bidi="ar-SA"/>
        </w:rPr>
        <w:t>s prepared a draft variation to</w:t>
      </w:r>
      <w:r w:rsidRPr="002933AF">
        <w:rPr>
          <w:color w:val="000000" w:themeColor="text1"/>
          <w:lang w:bidi="ar-SA"/>
        </w:rPr>
        <w:t xml:space="preserve"> Schedule </w:t>
      </w:r>
      <w:r w:rsidR="009874AD" w:rsidRPr="002933AF">
        <w:rPr>
          <w:color w:val="000000" w:themeColor="text1"/>
          <w:lang w:bidi="ar-SA"/>
        </w:rPr>
        <w:t>26 that includes a</w:t>
      </w:r>
      <w:r w:rsidR="001E0CD5">
        <w:rPr>
          <w:color w:val="000000" w:themeColor="text1"/>
          <w:lang w:bidi="ar-SA"/>
        </w:rPr>
        <w:t xml:space="preserve"> reference to food derived from reduced ac</w:t>
      </w:r>
      <w:r w:rsidR="003E6E5D">
        <w:rPr>
          <w:color w:val="000000" w:themeColor="text1"/>
          <w:lang w:bidi="ar-SA"/>
        </w:rPr>
        <w:t>r</w:t>
      </w:r>
      <w:r w:rsidR="001E0CD5">
        <w:rPr>
          <w:color w:val="000000" w:themeColor="text1"/>
          <w:lang w:bidi="ar-SA"/>
        </w:rPr>
        <w:t xml:space="preserve">ylamide potential and reduced </w:t>
      </w:r>
      <w:r w:rsidR="001E0CD5" w:rsidRPr="001E0CD5">
        <w:rPr>
          <w:color w:val="000000" w:themeColor="text1"/>
          <w:lang w:bidi="ar-SA"/>
        </w:rPr>
        <w:t>browning</w:t>
      </w:r>
      <w:r w:rsidR="009874AD" w:rsidRPr="001E0CD5">
        <w:rPr>
          <w:color w:val="000000" w:themeColor="text1"/>
          <w:lang w:bidi="ar-SA"/>
        </w:rPr>
        <w:t xml:space="preserve"> potato line E12.</w:t>
      </w:r>
      <w:r w:rsidR="009874AD" w:rsidRPr="002933AF">
        <w:rPr>
          <w:color w:val="000000" w:themeColor="text1"/>
          <w:lang w:bidi="ar-SA"/>
        </w:rPr>
        <w:t xml:space="preserve"> </w:t>
      </w:r>
    </w:p>
    <w:p w14:paraId="1C985421" w14:textId="77777777" w:rsidR="0053464E" w:rsidRDefault="0053464E" w:rsidP="00A56E34">
      <w:bookmarkStart w:id="9" w:name="_Toc286391003"/>
      <w:r>
        <w:br w:type="page"/>
      </w:r>
    </w:p>
    <w:p w14:paraId="1C985422" w14:textId="77777777" w:rsidR="002A5F8B" w:rsidRPr="000B6AF2" w:rsidRDefault="00F33BB8" w:rsidP="000B6AF2">
      <w:pPr>
        <w:pStyle w:val="Heading1"/>
      </w:pPr>
      <w:bookmarkStart w:id="10" w:name="_Toc300933417"/>
      <w:bookmarkStart w:id="11" w:name="_Toc454376557"/>
      <w:r>
        <w:lastRenderedPageBreak/>
        <w:t>1</w:t>
      </w:r>
      <w:r w:rsidR="001542D8">
        <w:tab/>
      </w:r>
      <w:r w:rsidR="002A5F8B" w:rsidRPr="000B6AF2">
        <w:t>Introduction</w:t>
      </w:r>
      <w:bookmarkEnd w:id="9"/>
      <w:bookmarkEnd w:id="10"/>
      <w:bookmarkEnd w:id="11"/>
    </w:p>
    <w:p w14:paraId="1C985423" w14:textId="77777777" w:rsidR="0053464E" w:rsidRPr="00107E06" w:rsidRDefault="00F33BB8" w:rsidP="00A56E34">
      <w:pPr>
        <w:pStyle w:val="Heading2"/>
        <w:rPr>
          <w:color w:val="000000" w:themeColor="text1"/>
        </w:rPr>
      </w:pPr>
      <w:bookmarkStart w:id="12" w:name="_Toc300761890"/>
      <w:bookmarkStart w:id="13" w:name="_Toc300933419"/>
      <w:bookmarkStart w:id="14" w:name="_Toc454376558"/>
      <w:r w:rsidRPr="00107E06">
        <w:rPr>
          <w:color w:val="000000" w:themeColor="text1"/>
        </w:rPr>
        <w:t>1</w:t>
      </w:r>
      <w:r w:rsidR="0053464E" w:rsidRPr="00107E06">
        <w:rPr>
          <w:color w:val="000000" w:themeColor="text1"/>
        </w:rPr>
        <w:t>.1</w:t>
      </w:r>
      <w:r w:rsidR="0053464E" w:rsidRPr="00107E06">
        <w:rPr>
          <w:color w:val="000000" w:themeColor="text1"/>
        </w:rPr>
        <w:tab/>
        <w:t>The Applicant</w:t>
      </w:r>
      <w:bookmarkEnd w:id="12"/>
      <w:bookmarkEnd w:id="13"/>
      <w:bookmarkEnd w:id="14"/>
    </w:p>
    <w:p w14:paraId="1C985424" w14:textId="23CC2EE4" w:rsidR="0053464E" w:rsidRPr="00107E06" w:rsidRDefault="009C74B5" w:rsidP="0053464E">
      <w:pPr>
        <w:rPr>
          <w:color w:val="000000" w:themeColor="text1"/>
        </w:rPr>
      </w:pPr>
      <w:r w:rsidRPr="00107E06">
        <w:rPr>
          <w:color w:val="000000" w:themeColor="text1"/>
        </w:rPr>
        <w:t>SPS International Inc</w:t>
      </w:r>
      <w:r w:rsidR="00DA71C0" w:rsidRPr="00107E06">
        <w:rPr>
          <w:color w:val="000000" w:themeColor="text1"/>
        </w:rPr>
        <w:t xml:space="preserve"> (SPS)</w:t>
      </w:r>
      <w:r w:rsidRPr="00107E06">
        <w:rPr>
          <w:color w:val="000000" w:themeColor="text1"/>
        </w:rPr>
        <w:t xml:space="preserve"> is a subsidiary of the U</w:t>
      </w:r>
      <w:r w:rsidR="002933AF" w:rsidRPr="00107E06">
        <w:rPr>
          <w:color w:val="000000" w:themeColor="text1"/>
        </w:rPr>
        <w:t xml:space="preserve">nited States of America (USA) </w:t>
      </w:r>
      <w:r w:rsidRPr="00107E06">
        <w:rPr>
          <w:color w:val="000000" w:themeColor="text1"/>
        </w:rPr>
        <w:t>food and agribusiness company J.R. Simplot Company located in Boise, Idaho, USA.</w:t>
      </w:r>
    </w:p>
    <w:p w14:paraId="1C985425" w14:textId="77777777" w:rsidR="0053464E" w:rsidRPr="00107E06" w:rsidRDefault="00F33BB8" w:rsidP="00A56E34">
      <w:pPr>
        <w:pStyle w:val="Heading2"/>
        <w:rPr>
          <w:color w:val="000000" w:themeColor="text1"/>
        </w:rPr>
      </w:pPr>
      <w:bookmarkStart w:id="15" w:name="_Toc300761891"/>
      <w:bookmarkStart w:id="16" w:name="_Toc300933420"/>
      <w:bookmarkStart w:id="17" w:name="_Toc454376559"/>
      <w:r w:rsidRPr="00107E06">
        <w:rPr>
          <w:color w:val="000000" w:themeColor="text1"/>
        </w:rPr>
        <w:t>1</w:t>
      </w:r>
      <w:r w:rsidR="0053464E" w:rsidRPr="00107E06">
        <w:rPr>
          <w:color w:val="000000" w:themeColor="text1"/>
        </w:rPr>
        <w:t>.2</w:t>
      </w:r>
      <w:r w:rsidR="0053464E" w:rsidRPr="00107E06">
        <w:rPr>
          <w:color w:val="000000" w:themeColor="text1"/>
        </w:rPr>
        <w:tab/>
        <w:t>The Application</w:t>
      </w:r>
      <w:bookmarkEnd w:id="15"/>
      <w:bookmarkEnd w:id="16"/>
      <w:bookmarkEnd w:id="17"/>
    </w:p>
    <w:p w14:paraId="1C985426" w14:textId="77777777" w:rsidR="0053464E" w:rsidRPr="00107E06" w:rsidRDefault="00DA71C0" w:rsidP="0053464E">
      <w:pPr>
        <w:rPr>
          <w:color w:val="000000" w:themeColor="text1"/>
        </w:rPr>
      </w:pPr>
      <w:r w:rsidRPr="00107E06">
        <w:rPr>
          <w:color w:val="000000" w:themeColor="text1"/>
        </w:rPr>
        <w:t xml:space="preserve">Application A1128 was submitted by SPS </w:t>
      </w:r>
      <w:r w:rsidR="00087725" w:rsidRPr="00107E06">
        <w:rPr>
          <w:color w:val="000000" w:themeColor="text1"/>
        </w:rPr>
        <w:t>on 25</w:t>
      </w:r>
      <w:r w:rsidRPr="00107E06">
        <w:rPr>
          <w:color w:val="000000" w:themeColor="text1"/>
        </w:rPr>
        <w:t xml:space="preserve"> February 2016. It seeks approval for food derived from a potato line which has reduced acrylamide potential and reduced browning (blackspot bruise) with OECD Unique Identifier SPS-ØØE12-8 (herein referred to as E12).</w:t>
      </w:r>
    </w:p>
    <w:p w14:paraId="1C985427" w14:textId="77777777" w:rsidR="00DA71C0" w:rsidRPr="00107E06" w:rsidRDefault="00DA71C0" w:rsidP="0053464E">
      <w:pPr>
        <w:rPr>
          <w:color w:val="000000" w:themeColor="text1"/>
        </w:rPr>
      </w:pPr>
    </w:p>
    <w:p w14:paraId="1C985428" w14:textId="53B3CF6B" w:rsidR="00DA71C0" w:rsidRPr="00107E06" w:rsidRDefault="00DA71C0" w:rsidP="00DA71C0">
      <w:pPr>
        <w:rPr>
          <w:color w:val="000000" w:themeColor="text1"/>
        </w:rPr>
      </w:pPr>
      <w:r w:rsidRPr="00107E06">
        <w:rPr>
          <w:color w:val="000000" w:themeColor="text1"/>
        </w:rPr>
        <w:t>E12</w:t>
      </w:r>
      <w:r w:rsidR="001B5E6B" w:rsidRPr="00107E06">
        <w:rPr>
          <w:color w:val="000000" w:themeColor="text1"/>
        </w:rPr>
        <w:t xml:space="preserve"> has been genetically </w:t>
      </w:r>
      <w:r w:rsidR="001F20F4" w:rsidRPr="00107E06">
        <w:rPr>
          <w:color w:val="000000" w:themeColor="text1"/>
        </w:rPr>
        <w:t>modif</w:t>
      </w:r>
      <w:r w:rsidR="001F20F4">
        <w:rPr>
          <w:color w:val="000000" w:themeColor="text1"/>
        </w:rPr>
        <w:t>ied</w:t>
      </w:r>
      <w:r w:rsidR="001F20F4" w:rsidRPr="00107E06">
        <w:rPr>
          <w:color w:val="000000" w:themeColor="text1"/>
        </w:rPr>
        <w:t xml:space="preserve"> </w:t>
      </w:r>
      <w:r w:rsidRPr="00107E06">
        <w:rPr>
          <w:color w:val="000000" w:themeColor="text1"/>
        </w:rPr>
        <w:t>using an RNA interference (RNAi) approach. Gene fragments from four genes were introduced into E12 and the expression of these fragments supresses the expression of four endogenous potato genes. The introduced DNA fragments are derived from potato (</w:t>
      </w:r>
      <w:r w:rsidRPr="00107E06">
        <w:rPr>
          <w:i/>
          <w:color w:val="000000" w:themeColor="text1"/>
        </w:rPr>
        <w:t>Solanum tuberosum</w:t>
      </w:r>
      <w:r w:rsidRPr="00107E06">
        <w:rPr>
          <w:color w:val="000000" w:themeColor="text1"/>
        </w:rPr>
        <w:t>)</w:t>
      </w:r>
      <w:r w:rsidRPr="00107E06">
        <w:rPr>
          <w:i/>
          <w:color w:val="000000" w:themeColor="text1"/>
        </w:rPr>
        <w:t xml:space="preserve"> </w:t>
      </w:r>
      <w:r w:rsidR="003E6E5D">
        <w:rPr>
          <w:color w:val="000000" w:themeColor="text1"/>
        </w:rPr>
        <w:t>and a</w:t>
      </w:r>
      <w:r w:rsidRPr="00107E06">
        <w:rPr>
          <w:color w:val="000000" w:themeColor="text1"/>
        </w:rPr>
        <w:t xml:space="preserve"> related species (</w:t>
      </w:r>
      <w:r w:rsidRPr="00107E06">
        <w:rPr>
          <w:i/>
          <w:color w:val="000000" w:themeColor="text1"/>
        </w:rPr>
        <w:t>S. verrucosum</w:t>
      </w:r>
      <w:r w:rsidRPr="00107E06">
        <w:rPr>
          <w:color w:val="000000" w:themeColor="text1"/>
        </w:rPr>
        <w:t>).</w:t>
      </w:r>
    </w:p>
    <w:p w14:paraId="1C985429" w14:textId="77777777" w:rsidR="00DA71C0" w:rsidRPr="00107E06" w:rsidRDefault="00DA71C0" w:rsidP="00DA71C0">
      <w:pPr>
        <w:rPr>
          <w:color w:val="000000" w:themeColor="text1"/>
        </w:rPr>
      </w:pPr>
    </w:p>
    <w:p w14:paraId="1C98542A" w14:textId="350D9919" w:rsidR="00DA71C0" w:rsidRPr="00107E06" w:rsidRDefault="00DA71C0" w:rsidP="00DA71C0">
      <w:pPr>
        <w:rPr>
          <w:color w:val="000000" w:themeColor="text1"/>
        </w:rPr>
      </w:pPr>
      <w:r w:rsidRPr="00107E06">
        <w:rPr>
          <w:color w:val="000000" w:themeColor="text1"/>
        </w:rPr>
        <w:t xml:space="preserve">The four potato genes targeted for reduced expression are: </w:t>
      </w:r>
      <w:r w:rsidRPr="00107E06">
        <w:rPr>
          <w:i/>
          <w:color w:val="000000" w:themeColor="text1"/>
        </w:rPr>
        <w:t>asparagine synthetase-1</w:t>
      </w:r>
      <w:r w:rsidRPr="00107E06">
        <w:rPr>
          <w:color w:val="000000" w:themeColor="text1"/>
        </w:rPr>
        <w:t xml:space="preserve"> (</w:t>
      </w:r>
      <w:r w:rsidRPr="00107E06">
        <w:rPr>
          <w:i/>
          <w:color w:val="000000" w:themeColor="text1"/>
        </w:rPr>
        <w:t>Asn1</w:t>
      </w:r>
      <w:r w:rsidRPr="00107E06">
        <w:rPr>
          <w:color w:val="000000" w:themeColor="text1"/>
        </w:rPr>
        <w:t xml:space="preserve">), </w:t>
      </w:r>
      <w:r w:rsidRPr="00107E06">
        <w:rPr>
          <w:i/>
          <w:color w:val="000000" w:themeColor="text1"/>
        </w:rPr>
        <w:t>phosp</w:t>
      </w:r>
      <w:r w:rsidR="00664208">
        <w:rPr>
          <w:i/>
          <w:color w:val="000000" w:themeColor="text1"/>
        </w:rPr>
        <w:t>h</w:t>
      </w:r>
      <w:r w:rsidRPr="00107E06">
        <w:rPr>
          <w:i/>
          <w:color w:val="000000" w:themeColor="text1"/>
        </w:rPr>
        <w:t>orylase-L</w:t>
      </w:r>
      <w:r w:rsidRPr="00107E06">
        <w:rPr>
          <w:color w:val="000000" w:themeColor="text1"/>
        </w:rPr>
        <w:t xml:space="preserve"> (</w:t>
      </w:r>
      <w:r w:rsidRPr="00107E06">
        <w:rPr>
          <w:i/>
          <w:color w:val="000000" w:themeColor="text1"/>
        </w:rPr>
        <w:t>PhL</w:t>
      </w:r>
      <w:r w:rsidRPr="00107E06">
        <w:rPr>
          <w:color w:val="000000" w:themeColor="text1"/>
        </w:rPr>
        <w:t xml:space="preserve">), </w:t>
      </w:r>
      <w:r w:rsidRPr="00107E06">
        <w:rPr>
          <w:i/>
          <w:color w:val="000000" w:themeColor="text1"/>
        </w:rPr>
        <w:t>water dikinase R1</w:t>
      </w:r>
      <w:r w:rsidRPr="00107E06">
        <w:rPr>
          <w:color w:val="000000" w:themeColor="text1"/>
        </w:rPr>
        <w:t xml:space="preserve"> (</w:t>
      </w:r>
      <w:r w:rsidRPr="00107E06">
        <w:rPr>
          <w:i/>
          <w:color w:val="000000" w:themeColor="text1"/>
        </w:rPr>
        <w:t>R1</w:t>
      </w:r>
      <w:r w:rsidRPr="00107E06">
        <w:rPr>
          <w:color w:val="000000" w:themeColor="text1"/>
        </w:rPr>
        <w:t xml:space="preserve">), and </w:t>
      </w:r>
      <w:r w:rsidRPr="00107E06">
        <w:rPr>
          <w:i/>
          <w:color w:val="000000" w:themeColor="text1"/>
        </w:rPr>
        <w:t>polyphenol oxidase-5</w:t>
      </w:r>
      <w:r w:rsidRPr="00107E06">
        <w:rPr>
          <w:color w:val="000000" w:themeColor="text1"/>
        </w:rPr>
        <w:t xml:space="preserve"> (</w:t>
      </w:r>
      <w:r w:rsidRPr="00107E06">
        <w:rPr>
          <w:i/>
          <w:color w:val="000000" w:themeColor="text1"/>
        </w:rPr>
        <w:t>Ppo5</w:t>
      </w:r>
      <w:r w:rsidRPr="00107E06">
        <w:rPr>
          <w:color w:val="000000" w:themeColor="text1"/>
        </w:rPr>
        <w:t xml:space="preserve">). The </w:t>
      </w:r>
      <w:r w:rsidR="00015586">
        <w:rPr>
          <w:color w:val="000000" w:themeColor="text1"/>
        </w:rPr>
        <w:t xml:space="preserve">aim of the </w:t>
      </w:r>
      <w:r w:rsidRPr="00107E06">
        <w:rPr>
          <w:color w:val="000000" w:themeColor="text1"/>
        </w:rPr>
        <w:t xml:space="preserve">suppression of </w:t>
      </w:r>
      <w:r w:rsidRPr="00107E06">
        <w:rPr>
          <w:i/>
          <w:color w:val="000000" w:themeColor="text1"/>
        </w:rPr>
        <w:t>Asn1</w:t>
      </w:r>
      <w:r w:rsidR="00015586">
        <w:rPr>
          <w:color w:val="000000" w:themeColor="text1"/>
        </w:rPr>
        <w:t xml:space="preserve"> is to</w:t>
      </w:r>
      <w:r w:rsidRPr="00107E06">
        <w:rPr>
          <w:color w:val="000000" w:themeColor="text1"/>
        </w:rPr>
        <w:t xml:space="preserve"> reduce levels of free asparagine and the </w:t>
      </w:r>
      <w:r w:rsidR="00015586">
        <w:rPr>
          <w:color w:val="000000" w:themeColor="text1"/>
        </w:rPr>
        <w:t xml:space="preserve">aim of </w:t>
      </w:r>
      <w:r w:rsidRPr="00107E06">
        <w:rPr>
          <w:color w:val="000000" w:themeColor="text1"/>
        </w:rPr>
        <w:t xml:space="preserve">suppression of </w:t>
      </w:r>
      <w:r w:rsidRPr="00107E06">
        <w:rPr>
          <w:i/>
          <w:color w:val="000000" w:themeColor="text1"/>
        </w:rPr>
        <w:t>PhL</w:t>
      </w:r>
      <w:r w:rsidRPr="00107E06">
        <w:rPr>
          <w:color w:val="000000" w:themeColor="text1"/>
        </w:rPr>
        <w:t xml:space="preserve"> and </w:t>
      </w:r>
      <w:r w:rsidRPr="00107E06">
        <w:rPr>
          <w:i/>
          <w:color w:val="000000" w:themeColor="text1"/>
        </w:rPr>
        <w:t>R1</w:t>
      </w:r>
      <w:r w:rsidR="00015586">
        <w:rPr>
          <w:color w:val="000000" w:themeColor="text1"/>
        </w:rPr>
        <w:t xml:space="preserve"> is to</w:t>
      </w:r>
      <w:r w:rsidRPr="00107E06">
        <w:rPr>
          <w:color w:val="000000" w:themeColor="text1"/>
        </w:rPr>
        <w:t xml:space="preserve"> reduce levels of the reducing sugars, fructose and glucose. Collectively, the reduction of free asparagine a</w:t>
      </w:r>
      <w:r w:rsidR="00015586">
        <w:rPr>
          <w:color w:val="000000" w:themeColor="text1"/>
        </w:rPr>
        <w:t>nd reducing sugars results</w:t>
      </w:r>
      <w:r w:rsidRPr="00107E06">
        <w:rPr>
          <w:color w:val="000000" w:themeColor="text1"/>
        </w:rPr>
        <w:t xml:space="preserve"> in potato tubers with reduced acrylamide potential</w:t>
      </w:r>
      <w:r w:rsidR="002933AF" w:rsidRPr="00107E06">
        <w:rPr>
          <w:color w:val="000000" w:themeColor="text1"/>
        </w:rPr>
        <w:t xml:space="preserve"> when the potatoes are fried</w:t>
      </w:r>
      <w:r w:rsidRPr="00107E06">
        <w:rPr>
          <w:color w:val="000000" w:themeColor="text1"/>
        </w:rPr>
        <w:t xml:space="preserve">. Reduced expression of </w:t>
      </w:r>
      <w:r w:rsidRPr="00107E06">
        <w:rPr>
          <w:i/>
          <w:color w:val="000000" w:themeColor="text1"/>
        </w:rPr>
        <w:t>Ppo5</w:t>
      </w:r>
      <w:r w:rsidRPr="00107E06">
        <w:rPr>
          <w:color w:val="000000" w:themeColor="text1"/>
        </w:rPr>
        <w:t xml:space="preserve"> result</w:t>
      </w:r>
      <w:r w:rsidR="00015586">
        <w:rPr>
          <w:color w:val="000000" w:themeColor="text1"/>
        </w:rPr>
        <w:t>s</w:t>
      </w:r>
      <w:r w:rsidRPr="00107E06">
        <w:rPr>
          <w:color w:val="000000" w:themeColor="text1"/>
        </w:rPr>
        <w:t xml:space="preserve"> in tubers with reduced blackspot bruising. No other genetic modification has been introduced and </w:t>
      </w:r>
      <w:r w:rsidRPr="00107E06">
        <w:rPr>
          <w:color w:val="000000" w:themeColor="text1"/>
          <w:lang w:val="en-AU"/>
        </w:rPr>
        <w:t>no new proteins are produced in line E12.</w:t>
      </w:r>
    </w:p>
    <w:p w14:paraId="1C98542B" w14:textId="2B47155C" w:rsidR="0053464E" w:rsidRPr="00107E06" w:rsidRDefault="00F33BB8" w:rsidP="00A56E34">
      <w:pPr>
        <w:pStyle w:val="Heading2"/>
        <w:rPr>
          <w:color w:val="000000" w:themeColor="text1"/>
        </w:rPr>
      </w:pPr>
      <w:bookmarkStart w:id="18" w:name="_Toc300761892"/>
      <w:bookmarkStart w:id="19" w:name="_Toc300933421"/>
      <w:bookmarkStart w:id="20" w:name="_Toc454376560"/>
      <w:r w:rsidRPr="00107E06">
        <w:rPr>
          <w:color w:val="000000" w:themeColor="text1"/>
        </w:rPr>
        <w:t>1</w:t>
      </w:r>
      <w:r w:rsidR="00A56E34" w:rsidRPr="00107E06">
        <w:rPr>
          <w:color w:val="000000" w:themeColor="text1"/>
        </w:rPr>
        <w:t>.3</w:t>
      </w:r>
      <w:r w:rsidR="00A56E34" w:rsidRPr="00107E06">
        <w:rPr>
          <w:color w:val="000000" w:themeColor="text1"/>
        </w:rPr>
        <w:tab/>
        <w:t>The c</w:t>
      </w:r>
      <w:r w:rsidR="00107E06" w:rsidRPr="00107E06">
        <w:rPr>
          <w:color w:val="000000" w:themeColor="text1"/>
        </w:rPr>
        <w:t>urrent s</w:t>
      </w:r>
      <w:r w:rsidR="0053464E" w:rsidRPr="00107E06">
        <w:rPr>
          <w:color w:val="000000" w:themeColor="text1"/>
        </w:rPr>
        <w:t>tandard</w:t>
      </w:r>
      <w:bookmarkEnd w:id="18"/>
      <w:bookmarkEnd w:id="19"/>
      <w:bookmarkEnd w:id="20"/>
      <w:r w:rsidR="00107E06" w:rsidRPr="00107E06">
        <w:rPr>
          <w:color w:val="000000" w:themeColor="text1"/>
        </w:rPr>
        <w:t>s</w:t>
      </w:r>
    </w:p>
    <w:p w14:paraId="1C98542C" w14:textId="204343C8" w:rsidR="00FC2DE4" w:rsidRPr="00107E06" w:rsidRDefault="00FC2DE4" w:rsidP="00FC2DE4">
      <w:pPr>
        <w:rPr>
          <w:color w:val="000000" w:themeColor="text1"/>
        </w:rPr>
      </w:pPr>
      <w:r w:rsidRPr="00107E06">
        <w:rPr>
          <w:color w:val="000000" w:themeColor="text1"/>
        </w:rPr>
        <w:t xml:space="preserve">Pre-market approval is necessary before a GM food may enter the Australian and New Zealand food supply. Approval of such foods is contingent on completion of a comprehensive pre-market safety assessment. </w:t>
      </w:r>
      <w:r w:rsidR="00107E06" w:rsidRPr="00107E06" w:rsidDel="00C41B34">
        <w:rPr>
          <w:color w:val="000000" w:themeColor="text1"/>
        </w:rPr>
        <w:t>Standard 1.5.2</w:t>
      </w:r>
      <w:r w:rsidR="00107E06" w:rsidRPr="00107E06">
        <w:rPr>
          <w:color w:val="000000" w:themeColor="text1"/>
        </w:rPr>
        <w:t xml:space="preserve"> sets out the permission and conditions for the sale and use of food produced using gene technology (a GM food). </w:t>
      </w:r>
      <w:r w:rsidRPr="00107E06">
        <w:rPr>
          <w:color w:val="000000" w:themeColor="text1"/>
        </w:rPr>
        <w:t xml:space="preserve">Foods that have been assessed and approved are listed in Schedule 26. </w:t>
      </w:r>
    </w:p>
    <w:p w14:paraId="1C98542D" w14:textId="77777777" w:rsidR="00FC2DE4" w:rsidRPr="00107E06" w:rsidRDefault="00FC2DE4" w:rsidP="00FC2DE4">
      <w:pPr>
        <w:rPr>
          <w:color w:val="000000" w:themeColor="text1"/>
        </w:rPr>
      </w:pPr>
    </w:p>
    <w:p w14:paraId="1C98542E" w14:textId="793FC143" w:rsidR="00FC2DE4" w:rsidRPr="00107E06" w:rsidRDefault="00FC2DE4" w:rsidP="00FC2DE4">
      <w:pPr>
        <w:rPr>
          <w:color w:val="000000" w:themeColor="text1"/>
        </w:rPr>
      </w:pPr>
      <w:r w:rsidRPr="00107E06">
        <w:rPr>
          <w:color w:val="000000" w:themeColor="text1"/>
        </w:rPr>
        <w:t xml:space="preserve">Standard 1.5.2 </w:t>
      </w:r>
      <w:r w:rsidR="00107E06">
        <w:rPr>
          <w:color w:val="000000" w:themeColor="text1"/>
        </w:rPr>
        <w:t xml:space="preserve">also </w:t>
      </w:r>
      <w:r w:rsidRPr="00107E06">
        <w:rPr>
          <w:color w:val="000000" w:themeColor="text1"/>
        </w:rPr>
        <w:t xml:space="preserve">contains specific labelling provisions for approved GM foods. GM foods and ingredients (including food additives and processing aids from GM sources) must be identified on labels with the words ‘genetically modified’, if novel DNA or novel protein (as defined in Standard 1.5.2) is present in the food. Foods listed in subsections S26—3(2) and (3) of Schedule 26 must also be labelled with the words ‘genetically modified’, as well as any other additional labelling required by the Schedule, regardless of the presence of novel DNA or novel protein in the foods. </w:t>
      </w:r>
      <w:r w:rsidR="00EF55C8">
        <w:rPr>
          <w:color w:val="000000" w:themeColor="text1"/>
        </w:rPr>
        <w:t>F</w:t>
      </w:r>
      <w:r w:rsidRPr="00107E06">
        <w:rPr>
          <w:color w:val="000000" w:themeColor="text1"/>
        </w:rPr>
        <w:t xml:space="preserve">oods listed in subsections S26—3(2) and (3) </w:t>
      </w:r>
      <w:r w:rsidR="00EF55C8">
        <w:rPr>
          <w:color w:val="000000" w:themeColor="text1"/>
        </w:rPr>
        <w:t xml:space="preserve">are considered to </w:t>
      </w:r>
      <w:r w:rsidRPr="00107E06">
        <w:rPr>
          <w:color w:val="000000" w:themeColor="text1"/>
        </w:rPr>
        <w:t>have an altered characteristic, such as an altered composition or nutritional profile, when compared to the existing counterpart food that is not produced using gene technology.</w:t>
      </w:r>
    </w:p>
    <w:p w14:paraId="1C98542F" w14:textId="77777777" w:rsidR="00AF387F" w:rsidRPr="00107E06" w:rsidRDefault="00F33BB8" w:rsidP="00D062E4">
      <w:pPr>
        <w:pStyle w:val="Heading2"/>
        <w:rPr>
          <w:color w:val="000000" w:themeColor="text1"/>
          <w:u w:color="FFFF00"/>
        </w:rPr>
      </w:pPr>
      <w:bookmarkStart w:id="21" w:name="_Toc286391007"/>
      <w:bookmarkStart w:id="22" w:name="_Toc454376561"/>
      <w:bookmarkStart w:id="23" w:name="_Toc300933423"/>
      <w:bookmarkStart w:id="24" w:name="_Toc175381432"/>
      <w:r w:rsidRPr="00107E06">
        <w:rPr>
          <w:color w:val="000000" w:themeColor="text1"/>
          <w:u w:color="FFFF00"/>
        </w:rPr>
        <w:t>1</w:t>
      </w:r>
      <w:r w:rsidR="00606C88" w:rsidRPr="00107E06">
        <w:rPr>
          <w:color w:val="000000" w:themeColor="text1"/>
          <w:u w:color="FFFF00"/>
        </w:rPr>
        <w:t>.4</w:t>
      </w:r>
      <w:r w:rsidR="001542D8" w:rsidRPr="00107E06">
        <w:rPr>
          <w:color w:val="000000" w:themeColor="text1"/>
          <w:u w:color="FFFF00"/>
        </w:rPr>
        <w:tab/>
      </w:r>
      <w:r w:rsidR="00741EFE" w:rsidRPr="00107E06">
        <w:rPr>
          <w:color w:val="000000" w:themeColor="text1"/>
          <w:u w:color="FFFF00"/>
        </w:rPr>
        <w:t>Reasons for accepting A</w:t>
      </w:r>
      <w:r w:rsidR="00AF387F" w:rsidRPr="00107E06">
        <w:rPr>
          <w:color w:val="000000" w:themeColor="text1"/>
          <w:u w:color="FFFF00"/>
        </w:rPr>
        <w:t>pplication</w:t>
      </w:r>
      <w:bookmarkEnd w:id="21"/>
      <w:bookmarkEnd w:id="22"/>
      <w:r w:rsidR="00180C41" w:rsidRPr="00107E06">
        <w:rPr>
          <w:color w:val="000000" w:themeColor="text1"/>
          <w:u w:color="FFFF00"/>
        </w:rPr>
        <w:t xml:space="preserve"> </w:t>
      </w:r>
      <w:bookmarkEnd w:id="23"/>
    </w:p>
    <w:p w14:paraId="1C985430" w14:textId="77777777" w:rsidR="00087725" w:rsidRPr="00107E06" w:rsidRDefault="00087725" w:rsidP="00087725">
      <w:pPr>
        <w:rPr>
          <w:color w:val="000000" w:themeColor="text1"/>
        </w:rPr>
      </w:pPr>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4"/>
      <w:r w:rsidRPr="00107E06">
        <w:rPr>
          <w:color w:val="000000" w:themeColor="text1"/>
        </w:rPr>
        <w:t>The Application was accepted for assessment because:</w:t>
      </w:r>
    </w:p>
    <w:p w14:paraId="1C985431" w14:textId="77777777" w:rsidR="00087725" w:rsidRPr="00107E06" w:rsidRDefault="00087725" w:rsidP="00087725">
      <w:pPr>
        <w:rPr>
          <w:color w:val="000000" w:themeColor="text1"/>
        </w:rPr>
      </w:pPr>
    </w:p>
    <w:p w14:paraId="1C985432" w14:textId="77777777" w:rsidR="00087725" w:rsidRPr="00107E06" w:rsidRDefault="00087725" w:rsidP="00087725">
      <w:pPr>
        <w:pStyle w:val="FSBullet1"/>
        <w:numPr>
          <w:ilvl w:val="0"/>
          <w:numId w:val="9"/>
        </w:numPr>
        <w:ind w:left="567" w:hanging="567"/>
        <w:rPr>
          <w:color w:val="000000" w:themeColor="text1"/>
        </w:rPr>
      </w:pPr>
      <w:r w:rsidRPr="00107E06">
        <w:rPr>
          <w:color w:val="000000" w:themeColor="text1"/>
        </w:rPr>
        <w:t>it complied with the procedural requirements under subsection 22(2) of the FSANZ Act</w:t>
      </w:r>
    </w:p>
    <w:p w14:paraId="1C985433" w14:textId="77777777" w:rsidR="00087725" w:rsidRPr="00107E06" w:rsidRDefault="00087725" w:rsidP="00087725">
      <w:pPr>
        <w:pStyle w:val="FSBullet1"/>
        <w:numPr>
          <w:ilvl w:val="0"/>
          <w:numId w:val="9"/>
        </w:numPr>
        <w:ind w:left="567" w:hanging="567"/>
        <w:rPr>
          <w:color w:val="000000" w:themeColor="text1"/>
        </w:rPr>
      </w:pPr>
      <w:r w:rsidRPr="00107E06">
        <w:rPr>
          <w:color w:val="000000" w:themeColor="text1"/>
        </w:rPr>
        <w:t>it related to a matter that warranted the variation of a food regulatory measure</w:t>
      </w:r>
    </w:p>
    <w:p w14:paraId="1C985434" w14:textId="1C6EE40B" w:rsidR="007D7B06" w:rsidRDefault="00087725" w:rsidP="00087725">
      <w:pPr>
        <w:pStyle w:val="FSBullet1"/>
        <w:numPr>
          <w:ilvl w:val="0"/>
          <w:numId w:val="10"/>
        </w:numPr>
        <w:ind w:left="567" w:hanging="567"/>
        <w:rPr>
          <w:color w:val="000000" w:themeColor="text1"/>
        </w:rPr>
      </w:pPr>
      <w:r w:rsidRPr="00107E06">
        <w:rPr>
          <w:color w:val="000000" w:themeColor="text1"/>
        </w:rPr>
        <w:t>it was not so similar to a previous application for the variation of a food regulatory measure that it ought to be rejected.</w:t>
      </w:r>
      <w:r w:rsidR="007D7B06">
        <w:rPr>
          <w:color w:val="000000" w:themeColor="text1"/>
        </w:rPr>
        <w:br w:type="page"/>
      </w:r>
    </w:p>
    <w:p w14:paraId="1C985435" w14:textId="77777777" w:rsidR="00DE79D9" w:rsidRPr="00107E06" w:rsidRDefault="00D3171B" w:rsidP="00DE79D9">
      <w:pPr>
        <w:pStyle w:val="Heading2"/>
        <w:rPr>
          <w:color w:val="000000" w:themeColor="text1"/>
        </w:rPr>
      </w:pPr>
      <w:bookmarkStart w:id="32" w:name="_Toc454376562"/>
      <w:r w:rsidRPr="00107E06">
        <w:rPr>
          <w:color w:val="000000" w:themeColor="text1"/>
        </w:rPr>
        <w:lastRenderedPageBreak/>
        <w:t>1</w:t>
      </w:r>
      <w:r w:rsidR="00606C88" w:rsidRPr="00107E06">
        <w:rPr>
          <w:color w:val="000000" w:themeColor="text1"/>
        </w:rPr>
        <w:t>.5</w:t>
      </w:r>
      <w:r w:rsidR="00DE79D9" w:rsidRPr="00107E06">
        <w:rPr>
          <w:color w:val="000000" w:themeColor="text1"/>
        </w:rPr>
        <w:tab/>
        <w:t>Procedure for assessment</w:t>
      </w:r>
      <w:bookmarkEnd w:id="32"/>
    </w:p>
    <w:p w14:paraId="1C985436" w14:textId="77777777" w:rsidR="00DE79D9" w:rsidRPr="00107E06" w:rsidRDefault="00DE79D9" w:rsidP="00DE79D9">
      <w:pPr>
        <w:rPr>
          <w:color w:val="000000" w:themeColor="text1"/>
        </w:rPr>
      </w:pPr>
      <w:r w:rsidRPr="00107E06">
        <w:rPr>
          <w:color w:val="000000" w:themeColor="text1"/>
        </w:rPr>
        <w:t>The A</w:t>
      </w:r>
      <w:r w:rsidR="00087725" w:rsidRPr="00107E06">
        <w:rPr>
          <w:color w:val="000000" w:themeColor="text1"/>
        </w:rPr>
        <w:t>pplication</w:t>
      </w:r>
      <w:r w:rsidRPr="00107E06">
        <w:rPr>
          <w:color w:val="000000" w:themeColor="text1"/>
        </w:rPr>
        <w:t xml:space="preserve"> is being assessed under the </w:t>
      </w:r>
      <w:r w:rsidR="00087725" w:rsidRPr="00107E06">
        <w:rPr>
          <w:color w:val="000000" w:themeColor="text1"/>
        </w:rPr>
        <w:t xml:space="preserve">General </w:t>
      </w:r>
      <w:r w:rsidRPr="00107E06">
        <w:rPr>
          <w:color w:val="000000" w:themeColor="text1"/>
        </w:rPr>
        <w:t>Procedure.</w:t>
      </w:r>
    </w:p>
    <w:p w14:paraId="1C985437" w14:textId="77777777" w:rsidR="00DE79D9" w:rsidRPr="00107E06" w:rsidRDefault="00DE79D9" w:rsidP="00180C41">
      <w:pPr>
        <w:rPr>
          <w:color w:val="000000" w:themeColor="text1"/>
        </w:rPr>
      </w:pPr>
    </w:p>
    <w:p w14:paraId="1C985438" w14:textId="77777777" w:rsidR="00AF387F" w:rsidRPr="00107E06" w:rsidRDefault="00D3171B" w:rsidP="00180C41">
      <w:pPr>
        <w:pStyle w:val="Heading1"/>
        <w:rPr>
          <w:color w:val="000000" w:themeColor="text1"/>
        </w:rPr>
      </w:pPr>
      <w:bookmarkStart w:id="33" w:name="_Toc300933424"/>
      <w:bookmarkStart w:id="34" w:name="_Toc454376563"/>
      <w:r w:rsidRPr="00107E06">
        <w:rPr>
          <w:color w:val="000000" w:themeColor="text1"/>
        </w:rPr>
        <w:t>2</w:t>
      </w:r>
      <w:r w:rsidR="001542D8" w:rsidRPr="00107E06">
        <w:rPr>
          <w:color w:val="000000" w:themeColor="text1"/>
        </w:rPr>
        <w:tab/>
      </w:r>
      <w:r w:rsidR="00350DBD" w:rsidRPr="00107E06">
        <w:rPr>
          <w:color w:val="000000" w:themeColor="text1"/>
        </w:rPr>
        <w:t>S</w:t>
      </w:r>
      <w:r w:rsidR="00FB1533" w:rsidRPr="00107E06">
        <w:rPr>
          <w:color w:val="000000" w:themeColor="text1"/>
        </w:rPr>
        <w:t>ummary of the a</w:t>
      </w:r>
      <w:r w:rsidR="00FD2FBE" w:rsidRPr="00107E06">
        <w:rPr>
          <w:color w:val="000000" w:themeColor="text1"/>
        </w:rPr>
        <w:t>ssessment</w:t>
      </w:r>
      <w:bookmarkEnd w:id="25"/>
      <w:bookmarkEnd w:id="33"/>
      <w:bookmarkEnd w:id="34"/>
    </w:p>
    <w:p w14:paraId="1C985439" w14:textId="77777777" w:rsidR="004F69F6" w:rsidRPr="00107E06" w:rsidRDefault="00D3171B" w:rsidP="004646F8">
      <w:pPr>
        <w:pStyle w:val="Heading2"/>
        <w:rPr>
          <w:color w:val="000000" w:themeColor="text1"/>
        </w:rPr>
      </w:pPr>
      <w:bookmarkStart w:id="35" w:name="_Toc300933438"/>
      <w:bookmarkStart w:id="36" w:name="_Toc286391009"/>
      <w:bookmarkStart w:id="37" w:name="_Toc300933425"/>
      <w:bookmarkStart w:id="38" w:name="_Toc454376564"/>
      <w:bookmarkStart w:id="39" w:name="_Toc120358583"/>
      <w:bookmarkStart w:id="40" w:name="_Toc175381440"/>
      <w:r w:rsidRPr="00107E06">
        <w:rPr>
          <w:color w:val="000000" w:themeColor="text1"/>
        </w:rPr>
        <w:t>2</w:t>
      </w:r>
      <w:r w:rsidR="00F33BB8" w:rsidRPr="00107E06">
        <w:rPr>
          <w:color w:val="000000" w:themeColor="text1"/>
        </w:rPr>
        <w:t>.1</w:t>
      </w:r>
      <w:r w:rsidR="00F33BB8" w:rsidRPr="00107E06">
        <w:rPr>
          <w:color w:val="000000" w:themeColor="text1"/>
        </w:rPr>
        <w:tab/>
      </w:r>
      <w:bookmarkEnd w:id="35"/>
      <w:r w:rsidR="001B3C22" w:rsidRPr="00107E06">
        <w:rPr>
          <w:color w:val="000000" w:themeColor="text1"/>
        </w:rPr>
        <w:t>Safety</w:t>
      </w:r>
      <w:r w:rsidR="004F69F6" w:rsidRPr="00107E06">
        <w:rPr>
          <w:color w:val="000000" w:themeColor="text1"/>
        </w:rPr>
        <w:t xml:space="preserve"> </w:t>
      </w:r>
      <w:r w:rsidR="00741EFE" w:rsidRPr="00107E06">
        <w:rPr>
          <w:color w:val="000000" w:themeColor="text1"/>
        </w:rPr>
        <w:t>a</w:t>
      </w:r>
      <w:r w:rsidR="004F69F6" w:rsidRPr="00107E06">
        <w:rPr>
          <w:color w:val="000000" w:themeColor="text1"/>
        </w:rPr>
        <w:t>ssessment</w:t>
      </w:r>
      <w:bookmarkEnd w:id="36"/>
      <w:bookmarkEnd w:id="37"/>
      <w:bookmarkEnd w:id="38"/>
      <w:r w:rsidR="004F69F6" w:rsidRPr="00107E06">
        <w:rPr>
          <w:color w:val="000000" w:themeColor="text1"/>
        </w:rPr>
        <w:t xml:space="preserve"> </w:t>
      </w:r>
      <w:bookmarkEnd w:id="39"/>
      <w:bookmarkEnd w:id="40"/>
    </w:p>
    <w:p w14:paraId="1C98543A" w14:textId="77777777" w:rsidR="001B3C22" w:rsidRPr="00107E06" w:rsidRDefault="001B3C22" w:rsidP="001B3C22">
      <w:pPr>
        <w:rPr>
          <w:color w:val="000000" w:themeColor="text1"/>
        </w:rPr>
      </w:pPr>
      <w:r w:rsidRPr="00107E06">
        <w:rPr>
          <w:color w:val="000000" w:themeColor="text1"/>
        </w:rPr>
        <w:t xml:space="preserve">The safety assessment of E12 is provided in the supporting document (SD1) and included the following key elements: </w:t>
      </w:r>
    </w:p>
    <w:p w14:paraId="1C98543B" w14:textId="77777777" w:rsidR="00561B28" w:rsidRPr="00107E06" w:rsidRDefault="00561B28" w:rsidP="001B3C22">
      <w:pPr>
        <w:rPr>
          <w:color w:val="000000" w:themeColor="text1"/>
        </w:rPr>
      </w:pPr>
    </w:p>
    <w:p w14:paraId="1C98543C" w14:textId="77777777" w:rsidR="001B3C22" w:rsidRPr="00107E06" w:rsidRDefault="001B3C22" w:rsidP="001B3C22">
      <w:pPr>
        <w:pStyle w:val="FSBullet1"/>
        <w:numPr>
          <w:ilvl w:val="0"/>
          <w:numId w:val="9"/>
        </w:numPr>
        <w:ind w:left="567" w:hanging="567"/>
        <w:rPr>
          <w:color w:val="000000" w:themeColor="text1"/>
        </w:rPr>
      </w:pPr>
      <w:r w:rsidRPr="00107E06">
        <w:rPr>
          <w:color w:val="000000" w:themeColor="text1"/>
        </w:rPr>
        <w:t>a characterisation of the transferred genetic material, its origin, function and stability in the potato genome</w:t>
      </w:r>
    </w:p>
    <w:p w14:paraId="1C98543D" w14:textId="00E01501" w:rsidR="001B3C22" w:rsidRPr="00107E06" w:rsidRDefault="001B3C22" w:rsidP="001B3C22">
      <w:pPr>
        <w:pStyle w:val="FSBullet1"/>
        <w:numPr>
          <w:ilvl w:val="0"/>
          <w:numId w:val="9"/>
        </w:numPr>
        <w:ind w:left="567" w:hanging="567"/>
        <w:rPr>
          <w:color w:val="000000" w:themeColor="text1"/>
        </w:rPr>
      </w:pPr>
      <w:r w:rsidRPr="00107E06">
        <w:rPr>
          <w:color w:val="000000" w:themeColor="text1"/>
        </w:rPr>
        <w:t>the c</w:t>
      </w:r>
      <w:r w:rsidR="009A5F5B">
        <w:rPr>
          <w:color w:val="000000" w:themeColor="text1"/>
        </w:rPr>
        <w:t>hanges at the level of DNA and RNA</w:t>
      </w:r>
      <w:r w:rsidRPr="00107E06">
        <w:rPr>
          <w:color w:val="000000" w:themeColor="text1"/>
        </w:rPr>
        <w:t xml:space="preserve"> in the whole food</w:t>
      </w:r>
    </w:p>
    <w:p w14:paraId="1C98543E" w14:textId="77777777" w:rsidR="001B3C22" w:rsidRPr="00107E06" w:rsidRDefault="001B3C22" w:rsidP="001B3C22">
      <w:pPr>
        <w:pStyle w:val="FSBullet1"/>
        <w:numPr>
          <w:ilvl w:val="0"/>
          <w:numId w:val="9"/>
        </w:numPr>
        <w:ind w:left="567" w:hanging="567"/>
        <w:rPr>
          <w:color w:val="000000" w:themeColor="text1"/>
        </w:rPr>
      </w:pPr>
      <w:r w:rsidRPr="00107E06">
        <w:rPr>
          <w:color w:val="000000" w:themeColor="text1"/>
        </w:rPr>
        <w:t>detailed compositional analyses</w:t>
      </w:r>
    </w:p>
    <w:p w14:paraId="1C98543F" w14:textId="77777777" w:rsidR="001B3C22" w:rsidRPr="00107E06" w:rsidRDefault="001B3C22" w:rsidP="001B3C22">
      <w:pPr>
        <w:pStyle w:val="FSBullet1"/>
        <w:numPr>
          <w:ilvl w:val="0"/>
          <w:numId w:val="9"/>
        </w:numPr>
        <w:ind w:left="567" w:hanging="567"/>
        <w:rPr>
          <w:color w:val="000000" w:themeColor="text1"/>
        </w:rPr>
      </w:pPr>
      <w:r w:rsidRPr="00107E06">
        <w:rPr>
          <w:color w:val="000000" w:themeColor="text1"/>
        </w:rPr>
        <w:t>evaluation of intended and unintended changes.</w:t>
      </w:r>
    </w:p>
    <w:p w14:paraId="1C985440" w14:textId="77777777" w:rsidR="001B3C22" w:rsidRPr="00107E06" w:rsidRDefault="001B3C22" w:rsidP="001B3C22">
      <w:pPr>
        <w:rPr>
          <w:color w:val="000000" w:themeColor="text1"/>
        </w:rPr>
      </w:pPr>
    </w:p>
    <w:p w14:paraId="1C985441" w14:textId="77777777" w:rsidR="001B3C22" w:rsidRPr="00107E06" w:rsidRDefault="001B3C22" w:rsidP="001B3C22">
      <w:pPr>
        <w:rPr>
          <w:color w:val="000000" w:themeColor="text1"/>
        </w:rPr>
      </w:pPr>
      <w:r w:rsidRPr="00107E06">
        <w:rPr>
          <w:color w:val="000000" w:themeColor="text1"/>
        </w:rPr>
        <w:t>The assessment of potato line E12 was restricted to human food safety and nutritional issues. This assessment therefore does not address any risks to the environment that may occur as the result of growing GM plants used in food production, or any risks to animals that may consume feed derived from GM plants. Cultivation in Australia or New Zealand would require independent assessment and approval by the Office of the Gene Technology Regulator in Australia and by the Environmental Protection Authority in New Zealand, as the case may be (see section 2.4.1.4 below).</w:t>
      </w:r>
    </w:p>
    <w:p w14:paraId="1C985442" w14:textId="77777777" w:rsidR="001B3C22" w:rsidRPr="00107E06" w:rsidRDefault="001B3C22" w:rsidP="001B3C22">
      <w:pPr>
        <w:rPr>
          <w:color w:val="000000" w:themeColor="text1"/>
        </w:rPr>
      </w:pPr>
    </w:p>
    <w:p w14:paraId="1C985443" w14:textId="77777777" w:rsidR="001B3C22" w:rsidRPr="00107E06" w:rsidRDefault="001B3C22" w:rsidP="001B3C22">
      <w:pPr>
        <w:rPr>
          <w:color w:val="000000" w:themeColor="text1"/>
        </w:rPr>
      </w:pPr>
      <w:r w:rsidRPr="00107E06">
        <w:rPr>
          <w:color w:val="000000" w:themeColor="text1"/>
        </w:rPr>
        <w:t xml:space="preserve">No potential public health and safety concerns have been identified. </w:t>
      </w:r>
    </w:p>
    <w:p w14:paraId="1C985444" w14:textId="77777777" w:rsidR="001B3C22" w:rsidRPr="00107E06" w:rsidRDefault="001B3C22" w:rsidP="001B3C22">
      <w:pPr>
        <w:rPr>
          <w:color w:val="000000" w:themeColor="text1"/>
        </w:rPr>
      </w:pPr>
    </w:p>
    <w:p w14:paraId="1C985445" w14:textId="77777777" w:rsidR="001B3C22" w:rsidRPr="00107E06" w:rsidRDefault="001B3C22" w:rsidP="001B3C22">
      <w:pPr>
        <w:rPr>
          <w:color w:val="000000" w:themeColor="text1"/>
        </w:rPr>
      </w:pPr>
      <w:r w:rsidRPr="00107E06">
        <w:rPr>
          <w:color w:val="000000" w:themeColor="text1"/>
        </w:rPr>
        <w:t>Based on the data provided in the Application, and other available information, food derived from potato line E12 is considered to be as safe for human consumption as food derived from conventional potato cultivars.</w:t>
      </w:r>
    </w:p>
    <w:p w14:paraId="1C985446" w14:textId="77777777" w:rsidR="004F69F6" w:rsidRPr="0072095E" w:rsidRDefault="00D3171B" w:rsidP="004646F8">
      <w:pPr>
        <w:pStyle w:val="Heading2"/>
        <w:rPr>
          <w:color w:val="000000" w:themeColor="text1"/>
        </w:rPr>
      </w:pPr>
      <w:bookmarkStart w:id="41" w:name="_Toc175381442"/>
      <w:bookmarkStart w:id="42" w:name="_Toc286391010"/>
      <w:bookmarkStart w:id="43" w:name="_Toc300933426"/>
      <w:bookmarkStart w:id="44" w:name="_Toc454376565"/>
      <w:r w:rsidRPr="0072095E">
        <w:rPr>
          <w:color w:val="000000" w:themeColor="text1"/>
        </w:rPr>
        <w:t>2</w:t>
      </w:r>
      <w:r w:rsidR="0045556F" w:rsidRPr="0072095E">
        <w:rPr>
          <w:color w:val="000000" w:themeColor="text1"/>
        </w:rPr>
        <w:t>.</w:t>
      </w:r>
      <w:r w:rsidR="002D6DF0" w:rsidRPr="0072095E">
        <w:rPr>
          <w:color w:val="000000" w:themeColor="text1"/>
        </w:rPr>
        <w:t>2</w:t>
      </w:r>
      <w:r w:rsidR="00271F00" w:rsidRPr="0072095E">
        <w:rPr>
          <w:color w:val="000000" w:themeColor="text1"/>
        </w:rPr>
        <w:tab/>
      </w:r>
      <w:bookmarkEnd w:id="41"/>
      <w:bookmarkEnd w:id="42"/>
      <w:bookmarkEnd w:id="43"/>
      <w:r w:rsidR="0045556F" w:rsidRPr="0072095E">
        <w:rPr>
          <w:color w:val="000000" w:themeColor="text1"/>
        </w:rPr>
        <w:t>R</w:t>
      </w:r>
      <w:r w:rsidR="00707E72" w:rsidRPr="0072095E">
        <w:rPr>
          <w:color w:val="000000" w:themeColor="text1"/>
        </w:rPr>
        <w:t>isk m</w:t>
      </w:r>
      <w:r w:rsidR="008A35FB" w:rsidRPr="0072095E">
        <w:rPr>
          <w:color w:val="000000" w:themeColor="text1"/>
        </w:rPr>
        <w:t>anagement</w:t>
      </w:r>
      <w:bookmarkEnd w:id="44"/>
    </w:p>
    <w:p w14:paraId="1C985447" w14:textId="77777777" w:rsidR="002D6DF0" w:rsidRPr="0072095E" w:rsidRDefault="002D6DF0" w:rsidP="000630D7">
      <w:pPr>
        <w:pStyle w:val="Heading3"/>
      </w:pPr>
      <w:bookmarkStart w:id="45" w:name="_Toc415062239"/>
      <w:bookmarkStart w:id="46" w:name="_Toc424730996"/>
      <w:bookmarkStart w:id="47" w:name="_Toc438026180"/>
      <w:bookmarkStart w:id="48" w:name="_Toc454376566"/>
      <w:r w:rsidRPr="0072095E">
        <w:t>2.2.1</w:t>
      </w:r>
      <w:r w:rsidRPr="0072095E">
        <w:tab/>
        <w:t>Labelling</w:t>
      </w:r>
      <w:bookmarkEnd w:id="45"/>
      <w:bookmarkEnd w:id="46"/>
      <w:bookmarkEnd w:id="47"/>
      <w:bookmarkEnd w:id="48"/>
    </w:p>
    <w:p w14:paraId="1C985448" w14:textId="67F4A10F" w:rsidR="00722D3A" w:rsidRPr="0072095E" w:rsidRDefault="00722D3A" w:rsidP="00722D3A">
      <w:pPr>
        <w:rPr>
          <w:color w:val="000000" w:themeColor="text1"/>
        </w:rPr>
      </w:pPr>
      <w:bookmarkStart w:id="49" w:name="_Toc300761910"/>
      <w:r w:rsidRPr="0072095E">
        <w:rPr>
          <w:color w:val="000000" w:themeColor="text1"/>
        </w:rPr>
        <w:t xml:space="preserve">In accordance with the labelling provisions in Standard 1.5.2 (see section 1.3 of this </w:t>
      </w:r>
      <w:r w:rsidR="007D7B06">
        <w:rPr>
          <w:color w:val="000000" w:themeColor="text1"/>
        </w:rPr>
        <w:t>summary</w:t>
      </w:r>
      <w:r w:rsidRPr="0072095E">
        <w:rPr>
          <w:color w:val="000000" w:themeColor="text1"/>
        </w:rPr>
        <w:t xml:space="preserve">), food derived from E12 would be required to be labelled as ‘genetically modified’ if it contains novel DNA or novel protein. </w:t>
      </w:r>
      <w:r w:rsidR="00364044">
        <w:rPr>
          <w:color w:val="000000" w:themeColor="text1"/>
        </w:rPr>
        <w:t>FSANZ is not proposing to list f</w:t>
      </w:r>
      <w:r w:rsidRPr="0072095E">
        <w:rPr>
          <w:color w:val="000000" w:themeColor="text1"/>
        </w:rPr>
        <w:t xml:space="preserve">ood derived from E12 in subsections S26—3(2) and (3) </w:t>
      </w:r>
      <w:r w:rsidR="00107E06" w:rsidRPr="0072095E">
        <w:rPr>
          <w:color w:val="000000" w:themeColor="text1"/>
        </w:rPr>
        <w:t>as</w:t>
      </w:r>
      <w:r w:rsidR="00364044">
        <w:rPr>
          <w:color w:val="000000" w:themeColor="text1"/>
        </w:rPr>
        <w:t xml:space="preserve"> the compositional analyses indicate</w:t>
      </w:r>
      <w:r w:rsidR="00107E06" w:rsidRPr="0072095E">
        <w:rPr>
          <w:color w:val="000000" w:themeColor="text1"/>
        </w:rPr>
        <w:t xml:space="preserve"> </w:t>
      </w:r>
      <w:r w:rsidR="009A5F5B" w:rsidRPr="0072095E">
        <w:rPr>
          <w:color w:val="000000" w:themeColor="text1"/>
        </w:rPr>
        <w:t xml:space="preserve">the raw </w:t>
      </w:r>
      <w:r w:rsidR="0072095E" w:rsidRPr="0072095E">
        <w:rPr>
          <w:color w:val="000000" w:themeColor="text1"/>
        </w:rPr>
        <w:t>agricultural product</w:t>
      </w:r>
      <w:r w:rsidRPr="0072095E">
        <w:rPr>
          <w:color w:val="000000" w:themeColor="text1"/>
        </w:rPr>
        <w:t xml:space="preserve"> </w:t>
      </w:r>
      <w:r w:rsidR="00107E06" w:rsidRPr="0072095E">
        <w:rPr>
          <w:color w:val="000000" w:themeColor="text1"/>
        </w:rPr>
        <w:t xml:space="preserve">does </w:t>
      </w:r>
      <w:r w:rsidRPr="0072095E">
        <w:rPr>
          <w:color w:val="000000" w:themeColor="text1"/>
        </w:rPr>
        <w:t>not have an altered characteristic when compared to the existing counterpart food that is not produced using ge</w:t>
      </w:r>
      <w:r w:rsidR="009A5F5B" w:rsidRPr="0072095E">
        <w:rPr>
          <w:color w:val="000000" w:themeColor="text1"/>
        </w:rPr>
        <w:t xml:space="preserve">ne technology (see </w:t>
      </w:r>
      <w:r w:rsidR="007D7B06">
        <w:rPr>
          <w:color w:val="000000" w:themeColor="text1"/>
        </w:rPr>
        <w:t>s</w:t>
      </w:r>
      <w:r w:rsidR="009A5F5B" w:rsidRPr="0072095E">
        <w:rPr>
          <w:color w:val="000000" w:themeColor="text1"/>
        </w:rPr>
        <w:t>ection 5 of SD1).</w:t>
      </w:r>
    </w:p>
    <w:p w14:paraId="1C985449" w14:textId="77777777" w:rsidR="00722D3A" w:rsidRPr="0072095E" w:rsidRDefault="00722D3A" w:rsidP="00722D3A">
      <w:pPr>
        <w:rPr>
          <w:color w:val="000000" w:themeColor="text1"/>
        </w:rPr>
      </w:pPr>
    </w:p>
    <w:p w14:paraId="1C98544A" w14:textId="3A43A2F1" w:rsidR="00722D3A" w:rsidRPr="0072095E" w:rsidRDefault="00722D3A" w:rsidP="007D7B06">
      <w:pPr>
        <w:ind w:right="-286"/>
        <w:rPr>
          <w:color w:val="000000" w:themeColor="text1"/>
        </w:rPr>
      </w:pPr>
      <w:r w:rsidRPr="0072095E">
        <w:rPr>
          <w:color w:val="000000" w:themeColor="text1"/>
        </w:rPr>
        <w:t xml:space="preserve">The genetic modification was </w:t>
      </w:r>
      <w:r w:rsidR="00446C60">
        <w:rPr>
          <w:color w:val="000000" w:themeColor="text1"/>
        </w:rPr>
        <w:t xml:space="preserve">made </w:t>
      </w:r>
      <w:r w:rsidRPr="0072095E">
        <w:rPr>
          <w:color w:val="000000" w:themeColor="text1"/>
        </w:rPr>
        <w:t xml:space="preserve">to reduce the expression of four endogenous potato genes; no new proteins were introduced into E12. </w:t>
      </w:r>
      <w:r w:rsidR="00FC2DE4" w:rsidRPr="0072095E">
        <w:rPr>
          <w:color w:val="000000" w:themeColor="text1"/>
        </w:rPr>
        <w:t xml:space="preserve">However, the genetic modification comprised </w:t>
      </w:r>
      <w:r w:rsidR="00846174">
        <w:rPr>
          <w:color w:val="000000" w:themeColor="text1"/>
        </w:rPr>
        <w:t>DNA from</w:t>
      </w:r>
      <w:r w:rsidRPr="0072095E">
        <w:rPr>
          <w:color w:val="000000" w:themeColor="text1"/>
        </w:rPr>
        <w:t xml:space="preserve"> </w:t>
      </w:r>
      <w:r w:rsidR="00364044">
        <w:rPr>
          <w:color w:val="000000" w:themeColor="text1"/>
        </w:rPr>
        <w:t xml:space="preserve">another </w:t>
      </w:r>
      <w:r w:rsidRPr="0072095E">
        <w:rPr>
          <w:color w:val="000000" w:themeColor="text1"/>
        </w:rPr>
        <w:t>species</w:t>
      </w:r>
      <w:r w:rsidR="001C4019" w:rsidRPr="0072095E">
        <w:rPr>
          <w:color w:val="000000" w:themeColor="text1"/>
        </w:rPr>
        <w:t xml:space="preserve"> (</w:t>
      </w:r>
      <w:r w:rsidR="001C4019" w:rsidRPr="0072095E">
        <w:rPr>
          <w:i/>
          <w:color w:val="000000" w:themeColor="text1"/>
        </w:rPr>
        <w:t>S. verrucosum</w:t>
      </w:r>
      <w:r w:rsidR="001C4019" w:rsidRPr="0072095E">
        <w:rPr>
          <w:color w:val="000000" w:themeColor="text1"/>
        </w:rPr>
        <w:t xml:space="preserve">) </w:t>
      </w:r>
      <w:r w:rsidRPr="0072095E">
        <w:rPr>
          <w:color w:val="000000" w:themeColor="text1"/>
        </w:rPr>
        <w:t>and re-</w:t>
      </w:r>
      <w:r w:rsidR="001C4019" w:rsidRPr="0072095E">
        <w:rPr>
          <w:color w:val="000000" w:themeColor="text1"/>
        </w:rPr>
        <w:t>arranged</w:t>
      </w:r>
      <w:r w:rsidRPr="0072095E">
        <w:rPr>
          <w:color w:val="000000" w:themeColor="text1"/>
        </w:rPr>
        <w:t xml:space="preserve"> se</w:t>
      </w:r>
      <w:r w:rsidR="001C4019" w:rsidRPr="0072095E">
        <w:rPr>
          <w:color w:val="000000" w:themeColor="text1"/>
        </w:rPr>
        <w:t xml:space="preserve">gments of DNA </w:t>
      </w:r>
      <w:r w:rsidR="00364044">
        <w:rPr>
          <w:color w:val="000000" w:themeColor="text1"/>
        </w:rPr>
        <w:t xml:space="preserve">from the same species </w:t>
      </w:r>
      <w:r w:rsidR="001C4019" w:rsidRPr="0072095E">
        <w:rPr>
          <w:color w:val="000000" w:themeColor="text1"/>
        </w:rPr>
        <w:t>(</w:t>
      </w:r>
      <w:r w:rsidR="001C4019" w:rsidRPr="0072095E">
        <w:rPr>
          <w:i/>
          <w:color w:val="000000" w:themeColor="text1"/>
        </w:rPr>
        <w:t>S. tuberosum</w:t>
      </w:r>
      <w:r w:rsidR="001C4019" w:rsidRPr="0072095E">
        <w:rPr>
          <w:color w:val="000000" w:themeColor="text1"/>
        </w:rPr>
        <w:t>) and thu</w:t>
      </w:r>
      <w:r w:rsidR="00496F82" w:rsidRPr="0072095E">
        <w:rPr>
          <w:color w:val="000000" w:themeColor="text1"/>
        </w:rPr>
        <w:t>s is</w:t>
      </w:r>
      <w:r w:rsidR="00FC2DE4" w:rsidRPr="0072095E">
        <w:rPr>
          <w:color w:val="000000" w:themeColor="text1"/>
        </w:rPr>
        <w:t xml:space="preserve"> considered </w:t>
      </w:r>
      <w:r w:rsidR="001C4019" w:rsidRPr="0072095E">
        <w:rPr>
          <w:color w:val="000000" w:themeColor="text1"/>
        </w:rPr>
        <w:t xml:space="preserve">novel DNA. The raw or cooked E12 tuber as well as processed products derived from E12 tubers (e.g. French fries, crisps, </w:t>
      </w:r>
      <w:r w:rsidR="00FC2DE4" w:rsidRPr="0072095E">
        <w:rPr>
          <w:color w:val="000000" w:themeColor="text1"/>
        </w:rPr>
        <w:t xml:space="preserve">potato </w:t>
      </w:r>
      <w:r w:rsidR="001C4019" w:rsidRPr="0072095E">
        <w:rPr>
          <w:color w:val="000000" w:themeColor="text1"/>
        </w:rPr>
        <w:t>starch)</w:t>
      </w:r>
      <w:r w:rsidR="000D1A62" w:rsidRPr="0072095E">
        <w:rPr>
          <w:color w:val="000000" w:themeColor="text1"/>
        </w:rPr>
        <w:t xml:space="preserve"> would contain the novel DNA</w:t>
      </w:r>
      <w:r w:rsidR="001C4019" w:rsidRPr="0072095E">
        <w:rPr>
          <w:color w:val="000000" w:themeColor="text1"/>
        </w:rPr>
        <w:t xml:space="preserve"> </w:t>
      </w:r>
      <w:r w:rsidR="00496F82" w:rsidRPr="0072095E">
        <w:rPr>
          <w:color w:val="000000" w:themeColor="text1"/>
        </w:rPr>
        <w:t xml:space="preserve">and </w:t>
      </w:r>
      <w:r w:rsidR="00FC2DE4" w:rsidRPr="0072095E">
        <w:rPr>
          <w:color w:val="000000" w:themeColor="text1"/>
        </w:rPr>
        <w:t xml:space="preserve">are </w:t>
      </w:r>
      <w:r w:rsidRPr="0072095E">
        <w:rPr>
          <w:color w:val="000000" w:themeColor="text1"/>
        </w:rPr>
        <w:t xml:space="preserve">likely to require labelling as ‘genetically modified’. </w:t>
      </w:r>
    </w:p>
    <w:p w14:paraId="1C98544B" w14:textId="77777777" w:rsidR="00FC2DE4" w:rsidRPr="0072095E" w:rsidRDefault="00FC2DE4" w:rsidP="00722D3A">
      <w:pPr>
        <w:rPr>
          <w:color w:val="000000" w:themeColor="text1"/>
        </w:rPr>
      </w:pPr>
    </w:p>
    <w:p w14:paraId="1C98544C" w14:textId="2283BFE3" w:rsidR="00722D3A" w:rsidRDefault="002D6DF0" w:rsidP="00722D3A">
      <w:pPr>
        <w:rPr>
          <w:color w:val="000000" w:themeColor="text1"/>
        </w:rPr>
      </w:pPr>
      <w:r w:rsidRPr="0072095E">
        <w:rPr>
          <w:color w:val="000000" w:themeColor="text1"/>
        </w:rPr>
        <w:t xml:space="preserve">Highly processed </w:t>
      </w:r>
      <w:r w:rsidR="00FC2DE4" w:rsidRPr="0072095E">
        <w:rPr>
          <w:color w:val="000000" w:themeColor="text1"/>
        </w:rPr>
        <w:t>E12 products such as alcohol</w:t>
      </w:r>
      <w:r w:rsidR="00722D3A" w:rsidRPr="0072095E">
        <w:rPr>
          <w:color w:val="000000" w:themeColor="text1"/>
        </w:rPr>
        <w:t xml:space="preserve"> </w:t>
      </w:r>
      <w:r w:rsidRPr="0072095E">
        <w:rPr>
          <w:color w:val="000000" w:themeColor="text1"/>
        </w:rPr>
        <w:t>would be</w:t>
      </w:r>
      <w:r w:rsidR="00FC2DE4" w:rsidRPr="0072095E">
        <w:rPr>
          <w:color w:val="000000" w:themeColor="text1"/>
        </w:rPr>
        <w:t xml:space="preserve"> un</w:t>
      </w:r>
      <w:r w:rsidR="00722D3A" w:rsidRPr="0072095E">
        <w:rPr>
          <w:color w:val="000000" w:themeColor="text1"/>
        </w:rPr>
        <w:t xml:space="preserve">likely </w:t>
      </w:r>
      <w:r w:rsidRPr="0072095E">
        <w:rPr>
          <w:color w:val="000000" w:themeColor="text1"/>
        </w:rPr>
        <w:t xml:space="preserve">to </w:t>
      </w:r>
      <w:r w:rsidR="00722D3A" w:rsidRPr="0072095E">
        <w:rPr>
          <w:color w:val="000000" w:themeColor="text1"/>
        </w:rPr>
        <w:t xml:space="preserve">contain </w:t>
      </w:r>
      <w:r w:rsidRPr="0072095E">
        <w:rPr>
          <w:color w:val="000000" w:themeColor="text1"/>
        </w:rPr>
        <w:t xml:space="preserve">novel DNA and </w:t>
      </w:r>
      <w:r w:rsidR="00722D3A" w:rsidRPr="0072095E">
        <w:rPr>
          <w:color w:val="000000" w:themeColor="text1"/>
        </w:rPr>
        <w:t xml:space="preserve">would </w:t>
      </w:r>
      <w:r w:rsidRPr="0072095E">
        <w:rPr>
          <w:color w:val="000000" w:themeColor="text1"/>
        </w:rPr>
        <w:t xml:space="preserve">be unlikely to </w:t>
      </w:r>
      <w:r w:rsidR="00722D3A" w:rsidRPr="0072095E">
        <w:rPr>
          <w:color w:val="000000" w:themeColor="text1"/>
        </w:rPr>
        <w:t xml:space="preserve">require labelling. </w:t>
      </w:r>
    </w:p>
    <w:p w14:paraId="13576E8D" w14:textId="4CAD595F" w:rsidR="00846174" w:rsidRDefault="00846174" w:rsidP="00722D3A">
      <w:pPr>
        <w:rPr>
          <w:color w:val="000000" w:themeColor="text1"/>
        </w:rPr>
      </w:pPr>
    </w:p>
    <w:p w14:paraId="220D9FD7" w14:textId="77777777" w:rsidR="007D7B06" w:rsidRDefault="00846174" w:rsidP="00722D3A">
      <w:pPr>
        <w:rPr>
          <w:rFonts w:cs="Arial"/>
          <w:color w:val="000000" w:themeColor="text1"/>
          <w:szCs w:val="22"/>
          <w:lang w:val="en"/>
        </w:rPr>
      </w:pPr>
      <w:r w:rsidRPr="002B1519">
        <w:rPr>
          <w:color w:val="000000" w:themeColor="text1"/>
        </w:rPr>
        <w:t>While one of the stated purposes of the genetic modification in E12 is to reduce the potential for forming acrylamide, this chemical is not a component of the raw agricultural product. It is produced only during</w:t>
      </w:r>
      <w:r w:rsidRPr="002B1519">
        <w:rPr>
          <w:rFonts w:cs="Arial"/>
          <w:color w:val="000000" w:themeColor="text1"/>
          <w:szCs w:val="22"/>
          <w:lang w:val="en"/>
        </w:rPr>
        <w:t xml:space="preserve"> high-temperature cooking processes, such as deep frying. </w:t>
      </w:r>
      <w:r w:rsidR="007D7B06">
        <w:rPr>
          <w:rFonts w:cs="Arial"/>
          <w:color w:val="000000" w:themeColor="text1"/>
          <w:szCs w:val="22"/>
          <w:lang w:val="en"/>
        </w:rPr>
        <w:br w:type="page"/>
      </w:r>
    </w:p>
    <w:p w14:paraId="267B3456" w14:textId="06C0807B" w:rsidR="00806ECC" w:rsidRDefault="00846174" w:rsidP="00722D3A">
      <w:pPr>
        <w:rPr>
          <w:rFonts w:cs="Arial"/>
          <w:color w:val="000000" w:themeColor="text1"/>
          <w:szCs w:val="22"/>
          <w:lang w:val="en"/>
        </w:rPr>
      </w:pPr>
      <w:r w:rsidRPr="002B1519">
        <w:rPr>
          <w:rFonts w:cs="Arial"/>
          <w:color w:val="000000" w:themeColor="text1"/>
          <w:szCs w:val="22"/>
          <w:lang w:val="en"/>
        </w:rPr>
        <w:lastRenderedPageBreak/>
        <w:t xml:space="preserve">The Applicant has stated that reducing acrylamide potential is desirable since acrylamide </w:t>
      </w:r>
      <w:r w:rsidR="00446C60">
        <w:rPr>
          <w:rFonts w:cs="Arial"/>
          <w:color w:val="000000" w:themeColor="text1"/>
          <w:szCs w:val="22"/>
          <w:lang w:val="en"/>
        </w:rPr>
        <w:t>may be a</w:t>
      </w:r>
      <w:r w:rsidRPr="002B1519">
        <w:rPr>
          <w:rFonts w:cs="Arial"/>
          <w:color w:val="000000" w:themeColor="text1"/>
          <w:szCs w:val="22"/>
          <w:lang w:val="en"/>
        </w:rPr>
        <w:t xml:space="preserve"> health risk for consumers. </w:t>
      </w:r>
    </w:p>
    <w:p w14:paraId="2FE485E3" w14:textId="0C3AB8CB" w:rsidR="00406699" w:rsidRDefault="00406699" w:rsidP="00722D3A">
      <w:pPr>
        <w:rPr>
          <w:rFonts w:cs="Arial"/>
          <w:color w:val="000000" w:themeColor="text1"/>
          <w:szCs w:val="22"/>
          <w:lang w:val="en"/>
        </w:rPr>
      </w:pPr>
    </w:p>
    <w:p w14:paraId="33CFF9C2" w14:textId="3D71847A" w:rsidR="00846174" w:rsidRPr="002B1519" w:rsidRDefault="00406699" w:rsidP="00FB4636">
      <w:pPr>
        <w:rPr>
          <w:color w:val="000000" w:themeColor="text1"/>
        </w:rPr>
      </w:pPr>
      <w:r w:rsidRPr="00E66D32">
        <w:rPr>
          <w:rFonts w:cs="Arial"/>
          <w:color w:val="000000" w:themeColor="text1"/>
          <w:szCs w:val="22"/>
          <w:lang w:val="en"/>
        </w:rPr>
        <w:t xml:space="preserve">Representations </w:t>
      </w:r>
      <w:r w:rsidR="0055226B" w:rsidRPr="00E66D32">
        <w:rPr>
          <w:rFonts w:cs="Arial"/>
          <w:color w:val="000000" w:themeColor="text1"/>
          <w:szCs w:val="22"/>
          <w:lang w:val="en"/>
        </w:rPr>
        <w:t xml:space="preserve">made </w:t>
      </w:r>
      <w:r w:rsidR="00E66D32">
        <w:rPr>
          <w:rFonts w:cs="Arial"/>
          <w:color w:val="000000" w:themeColor="text1"/>
          <w:szCs w:val="22"/>
          <w:lang w:val="en"/>
        </w:rPr>
        <w:t xml:space="preserve">about </w:t>
      </w:r>
      <w:r w:rsidR="0055226B" w:rsidRPr="00E66D32">
        <w:rPr>
          <w:rFonts w:cs="Arial"/>
          <w:color w:val="000000" w:themeColor="text1"/>
          <w:szCs w:val="22"/>
          <w:lang w:val="en"/>
        </w:rPr>
        <w:t xml:space="preserve">a food derived from E12 (e.g. regarding the reduced acrylamide content of deep fried products of E12) </w:t>
      </w:r>
      <w:r w:rsidRPr="00E66D32">
        <w:rPr>
          <w:rFonts w:cs="Arial"/>
          <w:color w:val="000000" w:themeColor="text1"/>
          <w:szCs w:val="22"/>
          <w:lang w:val="en"/>
        </w:rPr>
        <w:t xml:space="preserve">would be subject to consumer </w:t>
      </w:r>
      <w:r w:rsidR="00FB4636">
        <w:rPr>
          <w:rFonts w:cs="Arial"/>
          <w:color w:val="000000" w:themeColor="text1"/>
          <w:szCs w:val="22"/>
          <w:lang w:val="en"/>
        </w:rPr>
        <w:t xml:space="preserve">protection </w:t>
      </w:r>
      <w:r w:rsidRPr="00E66D32">
        <w:rPr>
          <w:rFonts w:cs="Arial"/>
          <w:color w:val="000000" w:themeColor="text1"/>
          <w:szCs w:val="22"/>
          <w:lang w:val="en"/>
        </w:rPr>
        <w:t xml:space="preserve">law in which they must be truthful and not misleading or deceptive. </w:t>
      </w:r>
      <w:r w:rsidR="00FB4636">
        <w:rPr>
          <w:rFonts w:cs="Arial"/>
          <w:color w:val="000000" w:themeColor="text1"/>
          <w:szCs w:val="22"/>
          <w:lang w:val="en"/>
        </w:rPr>
        <w:t xml:space="preserve">Additionally there are generic labelling provisions in the </w:t>
      </w:r>
      <w:r w:rsidR="007D7B06" w:rsidRPr="007D7B06">
        <w:rPr>
          <w:rFonts w:cs="Arial"/>
          <w:i/>
          <w:color w:val="000000" w:themeColor="text1"/>
          <w:szCs w:val="22"/>
          <w:lang w:val="en"/>
        </w:rPr>
        <w:t xml:space="preserve">Australia New Zealand Food Standards </w:t>
      </w:r>
      <w:r w:rsidR="00FB4636" w:rsidRPr="007D7B06">
        <w:rPr>
          <w:rFonts w:cs="Arial"/>
          <w:i/>
          <w:color w:val="000000" w:themeColor="text1"/>
          <w:szCs w:val="22"/>
          <w:lang w:val="en"/>
        </w:rPr>
        <w:t>Code</w:t>
      </w:r>
      <w:r w:rsidR="00FB4636">
        <w:rPr>
          <w:rFonts w:cs="Arial"/>
          <w:color w:val="000000" w:themeColor="text1"/>
          <w:szCs w:val="22"/>
          <w:lang w:val="en"/>
        </w:rPr>
        <w:t xml:space="preserve"> </w:t>
      </w:r>
      <w:r w:rsidR="007D7B06">
        <w:rPr>
          <w:rFonts w:cs="Arial"/>
          <w:color w:val="000000" w:themeColor="text1"/>
          <w:szCs w:val="22"/>
          <w:lang w:val="en"/>
        </w:rPr>
        <w:t xml:space="preserve">(Code) </w:t>
      </w:r>
      <w:r w:rsidR="00FB4636">
        <w:rPr>
          <w:rFonts w:cs="Arial"/>
          <w:color w:val="000000" w:themeColor="text1"/>
          <w:szCs w:val="22"/>
          <w:lang w:val="en"/>
        </w:rPr>
        <w:t>to</w:t>
      </w:r>
      <w:r w:rsidR="00895776">
        <w:rPr>
          <w:rFonts w:cs="Arial"/>
          <w:color w:val="000000" w:themeColor="text1"/>
          <w:szCs w:val="22"/>
          <w:lang w:val="en"/>
        </w:rPr>
        <w:t xml:space="preserve"> provide for informed consumer </w:t>
      </w:r>
      <w:r w:rsidR="00FB4636">
        <w:rPr>
          <w:rFonts w:cs="Arial"/>
          <w:color w:val="000000" w:themeColor="text1"/>
          <w:szCs w:val="22"/>
          <w:lang w:val="en"/>
        </w:rPr>
        <w:t xml:space="preserve">choice. </w:t>
      </w:r>
      <w:r w:rsidR="0055226B" w:rsidRPr="00E66D32">
        <w:rPr>
          <w:rFonts w:cs="Arial"/>
          <w:color w:val="000000" w:themeColor="text1"/>
          <w:szCs w:val="22"/>
          <w:lang w:val="en"/>
        </w:rPr>
        <w:t xml:space="preserve">The onus is on the supplier to determine whether any labelling requirements in the Code </w:t>
      </w:r>
      <w:r w:rsidR="00E66D32">
        <w:rPr>
          <w:rFonts w:cs="Arial"/>
          <w:color w:val="000000" w:themeColor="text1"/>
          <w:szCs w:val="22"/>
          <w:lang w:val="en"/>
        </w:rPr>
        <w:t xml:space="preserve">would </w:t>
      </w:r>
      <w:r w:rsidR="0055226B" w:rsidRPr="00E66D32">
        <w:rPr>
          <w:rFonts w:cs="Arial"/>
          <w:color w:val="000000" w:themeColor="text1"/>
          <w:szCs w:val="22"/>
          <w:lang w:val="en"/>
        </w:rPr>
        <w:t>appl</w:t>
      </w:r>
      <w:r w:rsidR="00E66D32" w:rsidRPr="00E66D32">
        <w:rPr>
          <w:rFonts w:cs="Arial"/>
          <w:color w:val="000000" w:themeColor="text1"/>
          <w:szCs w:val="22"/>
          <w:lang w:val="en"/>
        </w:rPr>
        <w:t>y</w:t>
      </w:r>
      <w:r w:rsidR="00E66D32">
        <w:rPr>
          <w:rFonts w:cs="Arial"/>
          <w:color w:val="000000" w:themeColor="text1"/>
          <w:szCs w:val="22"/>
          <w:lang w:val="en"/>
        </w:rPr>
        <w:t xml:space="preserve"> and are met.</w:t>
      </w:r>
    </w:p>
    <w:p w14:paraId="1C98544D" w14:textId="2A9296EF" w:rsidR="002D6DF0" w:rsidRPr="00801000" w:rsidRDefault="002D6DF0" w:rsidP="000630D7">
      <w:pPr>
        <w:pStyle w:val="Heading3"/>
      </w:pPr>
      <w:bookmarkStart w:id="50" w:name="_Toc438026181"/>
      <w:bookmarkStart w:id="51" w:name="_Toc454376567"/>
      <w:r w:rsidRPr="00801000">
        <w:t>2.2.2</w:t>
      </w:r>
      <w:r w:rsidRPr="00801000">
        <w:tab/>
        <w:t>Detection methodology</w:t>
      </w:r>
      <w:bookmarkEnd w:id="50"/>
      <w:bookmarkEnd w:id="51"/>
    </w:p>
    <w:p w14:paraId="1C98544E" w14:textId="1D47F177" w:rsidR="007D57F0" w:rsidRPr="009572C0" w:rsidRDefault="00C536B9" w:rsidP="007D57F0">
      <w:pPr>
        <w:rPr>
          <w:color w:val="000000" w:themeColor="text1"/>
        </w:rPr>
      </w:pPr>
      <w:r w:rsidRPr="00801000">
        <w:rPr>
          <w:color w:val="000000" w:themeColor="text1"/>
        </w:rPr>
        <w:t>The Applicant has provided a quantitative event-specific polymerase chain reaction (PCR) amplification method for line E12. The detection method specifically amplifies a DNA fragment spanning the junction between the potato genome and the 5</w:t>
      </w:r>
      <w:r w:rsidR="007D7B06">
        <w:rPr>
          <w:rFonts w:cs="Arial"/>
          <w:color w:val="000000" w:themeColor="text1"/>
        </w:rPr>
        <w:t>′</w:t>
      </w:r>
      <w:r w:rsidRPr="00801000">
        <w:rPr>
          <w:color w:val="000000" w:themeColor="text1"/>
        </w:rPr>
        <w:t xml:space="preserve"> region of the T-DNA insert. Since the junction site for the inserted T-DNA is unique in E12</w:t>
      </w:r>
      <w:r w:rsidR="007D57F0" w:rsidRPr="00801000">
        <w:rPr>
          <w:color w:val="000000" w:themeColor="text1"/>
        </w:rPr>
        <w:t xml:space="preserve">, PCR </w:t>
      </w:r>
      <w:r w:rsidR="007D57F0" w:rsidRPr="009572C0">
        <w:rPr>
          <w:color w:val="000000" w:themeColor="text1"/>
        </w:rPr>
        <w:t xml:space="preserve">amplification using junction specific primers can be used to detect the event unambiguously. </w:t>
      </w:r>
    </w:p>
    <w:p w14:paraId="1C98544F" w14:textId="77777777" w:rsidR="00E520FE" w:rsidRPr="009572C0" w:rsidRDefault="002D6DF0" w:rsidP="00E520FE">
      <w:pPr>
        <w:pStyle w:val="Heading2"/>
        <w:rPr>
          <w:color w:val="000000" w:themeColor="text1"/>
        </w:rPr>
      </w:pPr>
      <w:bookmarkStart w:id="52" w:name="_Toc300933435"/>
      <w:bookmarkStart w:id="53" w:name="_Toc454376568"/>
      <w:r w:rsidRPr="009572C0">
        <w:rPr>
          <w:color w:val="000000" w:themeColor="text1"/>
        </w:rPr>
        <w:t>2.3</w:t>
      </w:r>
      <w:r w:rsidR="00E520FE" w:rsidRPr="009572C0">
        <w:rPr>
          <w:color w:val="000000" w:themeColor="text1"/>
        </w:rPr>
        <w:tab/>
        <w:t>Risk communication</w:t>
      </w:r>
      <w:bookmarkEnd w:id="52"/>
      <w:bookmarkEnd w:id="53"/>
      <w:r w:rsidR="00E520FE" w:rsidRPr="009572C0">
        <w:rPr>
          <w:color w:val="000000" w:themeColor="text1"/>
        </w:rPr>
        <w:t xml:space="preserve"> </w:t>
      </w:r>
    </w:p>
    <w:p w14:paraId="1C985450" w14:textId="77777777" w:rsidR="00E520FE" w:rsidRPr="00801000" w:rsidRDefault="002D6DF0" w:rsidP="00022DBC">
      <w:pPr>
        <w:pStyle w:val="Heading3"/>
      </w:pPr>
      <w:bookmarkStart w:id="54" w:name="_Toc300933437"/>
      <w:bookmarkStart w:id="55" w:name="_Toc454376569"/>
      <w:bookmarkStart w:id="56" w:name="_Toc286391012"/>
      <w:r w:rsidRPr="00801000">
        <w:t>2.3</w:t>
      </w:r>
      <w:r w:rsidR="00E520FE" w:rsidRPr="00801000">
        <w:t>.1</w:t>
      </w:r>
      <w:r w:rsidR="00E520FE" w:rsidRPr="00801000">
        <w:tab/>
        <w:t>Consultation</w:t>
      </w:r>
      <w:bookmarkEnd w:id="54"/>
      <w:bookmarkEnd w:id="55"/>
    </w:p>
    <w:p w14:paraId="1C985451" w14:textId="77777777" w:rsidR="00C7339F" w:rsidRPr="00801000" w:rsidRDefault="0027513D" w:rsidP="00C7339F">
      <w:pPr>
        <w:rPr>
          <w:color w:val="000000" w:themeColor="text1"/>
          <w:szCs w:val="22"/>
        </w:rPr>
      </w:pPr>
      <w:r w:rsidRPr="00801000">
        <w:rPr>
          <w:color w:val="000000" w:themeColor="text1"/>
          <w:szCs w:val="22"/>
        </w:rPr>
        <w:t>Consultation is a key part of FSANZ’s standards development process.</w:t>
      </w:r>
    </w:p>
    <w:p w14:paraId="1C985452" w14:textId="77777777" w:rsidR="00C7339F" w:rsidRPr="00801000" w:rsidRDefault="00C7339F" w:rsidP="00C7339F">
      <w:pPr>
        <w:rPr>
          <w:color w:val="000000" w:themeColor="text1"/>
          <w:szCs w:val="22"/>
        </w:rPr>
      </w:pPr>
      <w:r w:rsidRPr="00801000">
        <w:rPr>
          <w:color w:val="000000" w:themeColor="text1"/>
          <w:szCs w:val="22"/>
        </w:rPr>
        <w:t xml:space="preserve"> </w:t>
      </w:r>
    </w:p>
    <w:p w14:paraId="1C985453" w14:textId="77777777" w:rsidR="00C7339F" w:rsidRPr="00801000" w:rsidRDefault="00C7339F" w:rsidP="00C7339F">
      <w:pPr>
        <w:rPr>
          <w:color w:val="000000" w:themeColor="text1"/>
          <w:szCs w:val="22"/>
        </w:rPr>
      </w:pPr>
      <w:r w:rsidRPr="00801000">
        <w:rPr>
          <w:color w:val="000000" w:themeColor="text1"/>
          <w:szCs w:val="22"/>
        </w:rPr>
        <w:t>FSANZ developed and applied a basic communication strategy to this Application. All calls for submissions are notified via the FSANZ Notification Circular, media release and through FSANZ’s social media tools and Food Standards News. Subscribers and interested parties are also notified about the availability of reports for public comment.</w:t>
      </w:r>
    </w:p>
    <w:p w14:paraId="1C985454" w14:textId="77777777" w:rsidR="00C7339F" w:rsidRPr="00801000" w:rsidRDefault="00C7339F" w:rsidP="00C7339F">
      <w:pPr>
        <w:rPr>
          <w:color w:val="000000" w:themeColor="text1"/>
          <w:szCs w:val="22"/>
        </w:rPr>
      </w:pPr>
    </w:p>
    <w:p w14:paraId="1C985455" w14:textId="77777777" w:rsidR="00C7339F" w:rsidRPr="00801000" w:rsidRDefault="00C7339F" w:rsidP="00C7339F">
      <w:pPr>
        <w:rPr>
          <w:color w:val="000000" w:themeColor="text1"/>
          <w:szCs w:val="22"/>
        </w:rPr>
      </w:pPr>
      <w:r w:rsidRPr="00801000">
        <w:rPr>
          <w:color w:val="000000" w:themeColor="text1"/>
          <w:szCs w:val="22"/>
        </w:rPr>
        <w:t>The draft variation will be considered for approval by the FSANZ Board taking into account public comments received on this call for submissions.</w:t>
      </w:r>
    </w:p>
    <w:p w14:paraId="1C985456" w14:textId="77777777" w:rsidR="00C7339F" w:rsidRPr="00801000" w:rsidRDefault="00C7339F" w:rsidP="00C7339F">
      <w:pPr>
        <w:rPr>
          <w:color w:val="000000" w:themeColor="text1"/>
          <w:szCs w:val="22"/>
        </w:rPr>
      </w:pPr>
    </w:p>
    <w:p w14:paraId="1C985457" w14:textId="77777777" w:rsidR="00C7339F" w:rsidRPr="00801000" w:rsidRDefault="00C7339F" w:rsidP="00C7339F">
      <w:pPr>
        <w:rPr>
          <w:color w:val="000000" w:themeColor="text1"/>
          <w:szCs w:val="22"/>
        </w:rPr>
      </w:pPr>
      <w:r w:rsidRPr="00801000">
        <w:rPr>
          <w:color w:val="000000" w:themeColor="text1"/>
          <w:szCs w:val="22"/>
        </w:rPr>
        <w:t xml:space="preserve">The Applicant and individuals and organisations that make submissions on this Application will be notified at each stage of the assessment. </w:t>
      </w:r>
    </w:p>
    <w:p w14:paraId="1C985458" w14:textId="77777777" w:rsidR="00C7339F" w:rsidRPr="00801000" w:rsidRDefault="00C7339F" w:rsidP="00C7339F">
      <w:pPr>
        <w:rPr>
          <w:color w:val="000000" w:themeColor="text1"/>
          <w:szCs w:val="22"/>
        </w:rPr>
      </w:pPr>
    </w:p>
    <w:p w14:paraId="1C985459" w14:textId="2DC4DBED" w:rsidR="0027513D" w:rsidRPr="009572C0" w:rsidRDefault="00C7339F" w:rsidP="00C7339F">
      <w:pPr>
        <w:rPr>
          <w:color w:val="000000" w:themeColor="text1"/>
          <w:szCs w:val="22"/>
        </w:rPr>
      </w:pPr>
      <w:r w:rsidRPr="00801000">
        <w:rPr>
          <w:color w:val="000000" w:themeColor="text1"/>
          <w:szCs w:val="22"/>
        </w:rPr>
        <w:t xml:space="preserve">If the draft variation to the Code is approved by the FSANZ Board, that decision will be notified to the </w:t>
      </w:r>
      <w:r w:rsidR="007D7B06">
        <w:rPr>
          <w:color w:val="000000" w:themeColor="text1"/>
          <w:szCs w:val="22"/>
        </w:rPr>
        <w:t xml:space="preserve">Australia and New Zealand Ministerial </w:t>
      </w:r>
      <w:r w:rsidRPr="00801000">
        <w:rPr>
          <w:color w:val="000000" w:themeColor="text1"/>
          <w:szCs w:val="22"/>
          <w:lang w:val="en-AU"/>
        </w:rPr>
        <w:t>Forum on Food Regulation</w:t>
      </w:r>
      <w:r w:rsidRPr="00801000">
        <w:rPr>
          <w:color w:val="000000" w:themeColor="text1"/>
          <w:szCs w:val="22"/>
        </w:rPr>
        <w:t>. If the Board’s decision is not subject to a request for a review, the Applicant and stakeholders, including the public, will be notified of the gazettal of the variation to the Code in the national press and on the website</w:t>
      </w:r>
      <w:r w:rsidRPr="009572C0">
        <w:rPr>
          <w:color w:val="000000" w:themeColor="text1"/>
          <w:szCs w:val="22"/>
        </w:rPr>
        <w:t>.</w:t>
      </w:r>
      <w:r w:rsidR="0027513D" w:rsidRPr="009572C0">
        <w:rPr>
          <w:color w:val="000000" w:themeColor="text1"/>
          <w:szCs w:val="22"/>
        </w:rPr>
        <w:t xml:space="preserve"> </w:t>
      </w:r>
    </w:p>
    <w:p w14:paraId="1C98545A" w14:textId="77777777" w:rsidR="00E520FE" w:rsidRPr="009572C0" w:rsidRDefault="002D6DF0" w:rsidP="00022DBC">
      <w:pPr>
        <w:pStyle w:val="Heading3"/>
      </w:pPr>
      <w:bookmarkStart w:id="57" w:name="_Toc300761912"/>
      <w:bookmarkStart w:id="58" w:name="_Toc300933439"/>
      <w:bookmarkStart w:id="59" w:name="_Toc454376570"/>
      <w:bookmarkEnd w:id="56"/>
      <w:r w:rsidRPr="009572C0">
        <w:t>2.3</w:t>
      </w:r>
      <w:r w:rsidR="00022DBC" w:rsidRPr="009572C0">
        <w:t>.2</w:t>
      </w:r>
      <w:r w:rsidR="00E520FE" w:rsidRPr="009572C0">
        <w:tab/>
        <w:t>World Trade Organization (WTO)</w:t>
      </w:r>
      <w:bookmarkEnd w:id="57"/>
      <w:bookmarkEnd w:id="58"/>
      <w:bookmarkEnd w:id="59"/>
    </w:p>
    <w:p w14:paraId="1C98545B" w14:textId="77777777" w:rsidR="00E520FE" w:rsidRPr="00801000" w:rsidRDefault="00E520FE" w:rsidP="00E520FE">
      <w:pPr>
        <w:rPr>
          <w:rFonts w:cs="Arial"/>
          <w:color w:val="000000" w:themeColor="text1"/>
        </w:rPr>
      </w:pPr>
      <w:r w:rsidRPr="00801000">
        <w:rPr>
          <w:rFonts w:cs="Arial"/>
          <w:color w:val="000000" w:themeColor="text1"/>
        </w:rPr>
        <w:t>As members of the World Trade Organization (WTO), Australia and New Zealand are obliged to notify WTO member</w:t>
      </w:r>
      <w:r w:rsidR="00BB5930" w:rsidRPr="00801000">
        <w:rPr>
          <w:rFonts w:cs="Arial"/>
          <w:color w:val="000000" w:themeColor="text1"/>
        </w:rPr>
        <w:t>s</w:t>
      </w:r>
      <w:r w:rsidRPr="00801000">
        <w:rPr>
          <w:rFonts w:cs="Arial"/>
          <w:color w:val="000000" w:themeColor="text1"/>
        </w:rPr>
        <w:t xml:space="preserve"> where proposed mandatory regulatory measures are inconsistent with any existing or imminent international standards and the proposed measure may have a significant effect on trade.</w:t>
      </w:r>
    </w:p>
    <w:p w14:paraId="1C98545C" w14:textId="77777777" w:rsidR="00E520FE" w:rsidRPr="00801000" w:rsidRDefault="00E520FE" w:rsidP="00E520FE">
      <w:pPr>
        <w:rPr>
          <w:color w:val="000000" w:themeColor="text1"/>
        </w:rPr>
      </w:pPr>
    </w:p>
    <w:p w14:paraId="1C98545D" w14:textId="3A4BD168" w:rsidR="007D7B06" w:rsidRDefault="00E520FE" w:rsidP="00E520FE">
      <w:pPr>
        <w:tabs>
          <w:tab w:val="left" w:pos="1560"/>
        </w:tabs>
        <w:rPr>
          <w:rFonts w:cs="Arial"/>
          <w:iCs/>
          <w:color w:val="000000" w:themeColor="text1"/>
        </w:rPr>
      </w:pPr>
      <w:r w:rsidRPr="00801000">
        <w:rPr>
          <w:rFonts w:cs="Arial"/>
          <w:color w:val="000000" w:themeColor="text1"/>
        </w:rPr>
        <w:t xml:space="preserve">There are no relevant international standards and amending the Code to </w:t>
      </w:r>
      <w:r w:rsidR="005D6250" w:rsidRPr="00801000">
        <w:rPr>
          <w:rFonts w:cs="Arial"/>
          <w:color w:val="000000" w:themeColor="text1"/>
        </w:rPr>
        <w:t xml:space="preserve">permit food derived from E12 </w:t>
      </w:r>
      <w:r w:rsidRPr="00801000">
        <w:rPr>
          <w:rFonts w:cs="Arial"/>
          <w:color w:val="000000" w:themeColor="text1"/>
        </w:rPr>
        <w:t xml:space="preserve">is unlikely to have a significant effect on international trade as </w:t>
      </w:r>
      <w:r w:rsidR="005D6250" w:rsidRPr="00801000">
        <w:rPr>
          <w:rFonts w:cs="Arial"/>
          <w:color w:val="000000" w:themeColor="text1"/>
        </w:rPr>
        <w:t xml:space="preserve">it would permit food derived from E12 to be imported into Australia and New Zealand and sold, where currently sale is prohibited. </w:t>
      </w:r>
      <w:r w:rsidRPr="00801000">
        <w:rPr>
          <w:rFonts w:cs="Arial"/>
          <w:iCs/>
          <w:color w:val="000000" w:themeColor="text1"/>
        </w:rPr>
        <w:t xml:space="preserve">Therefore, a notification to the WTO under </w:t>
      </w:r>
      <w:r w:rsidRPr="00801000">
        <w:rPr>
          <w:rFonts w:cs="Arial"/>
          <w:color w:val="000000" w:themeColor="text1"/>
        </w:rPr>
        <w:t>Australia’s and New Zealand’s</w:t>
      </w:r>
      <w:r w:rsidRPr="00801000">
        <w:rPr>
          <w:rFonts w:cs="Arial"/>
          <w:iCs/>
          <w:color w:val="000000" w:themeColor="text1"/>
        </w:rPr>
        <w:t xml:space="preserve"> obligations under the WTO Technical Barriers to Trade or </w:t>
      </w:r>
      <w:r w:rsidR="00D04529" w:rsidRPr="00801000">
        <w:rPr>
          <w:rFonts w:cs="Arial"/>
          <w:iCs/>
          <w:color w:val="000000" w:themeColor="text1"/>
        </w:rPr>
        <w:t xml:space="preserve">Application of </w:t>
      </w:r>
      <w:r w:rsidRPr="00801000">
        <w:rPr>
          <w:rFonts w:cs="Arial"/>
          <w:iCs/>
          <w:color w:val="000000" w:themeColor="text1"/>
        </w:rPr>
        <w:t>Sanitary and Phytosanitary Measures Agreement was not considered necessary.</w:t>
      </w:r>
      <w:r w:rsidR="007D7B06">
        <w:rPr>
          <w:rFonts w:cs="Arial"/>
          <w:iCs/>
          <w:color w:val="000000" w:themeColor="text1"/>
        </w:rPr>
        <w:br w:type="page"/>
      </w:r>
    </w:p>
    <w:p w14:paraId="1C98545E" w14:textId="77777777" w:rsidR="00E520FE" w:rsidRPr="00801000" w:rsidRDefault="005D6250" w:rsidP="00022DBC">
      <w:pPr>
        <w:pStyle w:val="Heading2"/>
        <w:rPr>
          <w:color w:val="000000" w:themeColor="text1"/>
        </w:rPr>
      </w:pPr>
      <w:bookmarkStart w:id="60" w:name="_Toc454376571"/>
      <w:r w:rsidRPr="00801000">
        <w:rPr>
          <w:color w:val="000000" w:themeColor="text1"/>
        </w:rPr>
        <w:lastRenderedPageBreak/>
        <w:t>2.4</w:t>
      </w:r>
      <w:r w:rsidR="00022DBC" w:rsidRPr="00801000">
        <w:rPr>
          <w:color w:val="000000" w:themeColor="text1"/>
        </w:rPr>
        <w:tab/>
        <w:t>FSANZ Act assessment requirements</w:t>
      </w:r>
      <w:bookmarkEnd w:id="60"/>
    </w:p>
    <w:p w14:paraId="1C98545F" w14:textId="77777777" w:rsidR="00726C2F" w:rsidRPr="00801000" w:rsidRDefault="00726C2F" w:rsidP="00726C2F">
      <w:pPr>
        <w:rPr>
          <w:color w:val="000000" w:themeColor="text1"/>
        </w:rPr>
      </w:pPr>
      <w:r w:rsidRPr="00801000">
        <w:rPr>
          <w:color w:val="000000" w:themeColor="text1"/>
        </w:rPr>
        <w:t>When assessing this A</w:t>
      </w:r>
      <w:r w:rsidR="005D6250" w:rsidRPr="00801000">
        <w:rPr>
          <w:color w:val="000000" w:themeColor="text1"/>
        </w:rPr>
        <w:t>pplication</w:t>
      </w:r>
      <w:r w:rsidRPr="00801000">
        <w:rPr>
          <w:color w:val="000000" w:themeColor="text1"/>
        </w:rPr>
        <w:t xml:space="preserve"> and the subsequent development of a food regulatory measure, FSANZ has had regard to the </w:t>
      </w:r>
      <w:r w:rsidRPr="00801000" w:rsidDel="00932F14">
        <w:rPr>
          <w:color w:val="000000" w:themeColor="text1"/>
        </w:rPr>
        <w:t xml:space="preserve">following </w:t>
      </w:r>
      <w:r w:rsidRPr="00801000">
        <w:rPr>
          <w:color w:val="000000" w:themeColor="text1"/>
        </w:rPr>
        <w:t xml:space="preserve">matters in section </w:t>
      </w:r>
      <w:r w:rsidR="005D6250" w:rsidRPr="00801000">
        <w:rPr>
          <w:color w:val="000000" w:themeColor="text1"/>
        </w:rPr>
        <w:t>29</w:t>
      </w:r>
      <w:r w:rsidRPr="00801000">
        <w:rPr>
          <w:color w:val="000000" w:themeColor="text1"/>
        </w:rPr>
        <w:t xml:space="preserve"> of the FSANZ Act:</w:t>
      </w:r>
    </w:p>
    <w:p w14:paraId="1C985460" w14:textId="77777777" w:rsidR="00726C2F" w:rsidRPr="00801000" w:rsidRDefault="005D6250" w:rsidP="00726C2F">
      <w:pPr>
        <w:pStyle w:val="Heading3"/>
      </w:pPr>
      <w:bookmarkStart w:id="61" w:name="_Toc454376572"/>
      <w:r w:rsidRPr="00801000">
        <w:t>2.4</w:t>
      </w:r>
      <w:r w:rsidR="00726C2F" w:rsidRPr="00801000">
        <w:t>.1</w:t>
      </w:r>
      <w:r w:rsidR="00726C2F" w:rsidRPr="00801000">
        <w:tab/>
        <w:t>Section 29</w:t>
      </w:r>
      <w:bookmarkEnd w:id="61"/>
    </w:p>
    <w:p w14:paraId="1C985461" w14:textId="77777777" w:rsidR="00726C2F" w:rsidRPr="00801000" w:rsidRDefault="005D6250" w:rsidP="00726C2F">
      <w:pPr>
        <w:pStyle w:val="Heading4"/>
        <w:rPr>
          <w:color w:val="000000" w:themeColor="text1"/>
        </w:rPr>
      </w:pPr>
      <w:r w:rsidRPr="00801000">
        <w:rPr>
          <w:color w:val="000000" w:themeColor="text1"/>
        </w:rPr>
        <w:t>2.4</w:t>
      </w:r>
      <w:r w:rsidR="00726C2F" w:rsidRPr="00801000">
        <w:rPr>
          <w:color w:val="000000" w:themeColor="text1"/>
        </w:rPr>
        <w:t>.1.1</w:t>
      </w:r>
      <w:r w:rsidR="00726C2F" w:rsidRPr="00801000">
        <w:rPr>
          <w:color w:val="000000" w:themeColor="text1"/>
        </w:rPr>
        <w:tab/>
        <w:t>Cost benefit analysis</w:t>
      </w:r>
    </w:p>
    <w:p w14:paraId="1C985462" w14:textId="3C26D8D5" w:rsidR="005D6250" w:rsidRPr="00801000" w:rsidRDefault="005D6250" w:rsidP="005D6250">
      <w:pPr>
        <w:rPr>
          <w:rFonts w:cs="Arial"/>
          <w:color w:val="000000" w:themeColor="text1"/>
        </w:rPr>
      </w:pPr>
      <w:r w:rsidRPr="00801000">
        <w:rPr>
          <w:rFonts w:cs="Arial"/>
          <w:color w:val="000000" w:themeColor="text1"/>
        </w:rPr>
        <w:t>The Office of</w:t>
      </w:r>
      <w:r w:rsidR="001E0CD5">
        <w:rPr>
          <w:rFonts w:cs="Arial"/>
          <w:color w:val="000000" w:themeColor="text1"/>
        </w:rPr>
        <w:t xml:space="preserve"> Best Practice Regulation (OBPR)</w:t>
      </w:r>
      <w:r w:rsidRPr="00801000">
        <w:rPr>
          <w:rFonts w:cs="Arial"/>
          <w:color w:val="000000" w:themeColor="text1"/>
        </w:rPr>
        <w:t>, in a letter to FSANZ dated 24 November 2010, granted a standing exemption from the need for the OBPR to assess if a Regulatory Impact Statement is require</w:t>
      </w:r>
      <w:r w:rsidR="001E0CD5">
        <w:rPr>
          <w:rFonts w:cs="Arial"/>
          <w:color w:val="000000" w:themeColor="text1"/>
        </w:rPr>
        <w:t>d for the approval of</w:t>
      </w:r>
      <w:r w:rsidRPr="00801000">
        <w:rPr>
          <w:rFonts w:cs="Arial"/>
          <w:color w:val="000000" w:themeColor="text1"/>
        </w:rPr>
        <w:t xml:space="preserve"> genetically modified foods </w:t>
      </w:r>
      <w:r w:rsidR="001E0CD5">
        <w:rPr>
          <w:rFonts w:cs="Arial"/>
          <w:color w:val="000000" w:themeColor="text1"/>
        </w:rPr>
        <w:t>(ref</w:t>
      </w:r>
      <w:r w:rsidRPr="00801000">
        <w:rPr>
          <w:rFonts w:cs="Arial"/>
          <w:color w:val="000000" w:themeColor="text1"/>
        </w:rPr>
        <w:t xml:space="preserve"> 12065).</w:t>
      </w:r>
    </w:p>
    <w:p w14:paraId="1C985463" w14:textId="77777777" w:rsidR="005D6250" w:rsidRPr="00801000" w:rsidRDefault="005D6250" w:rsidP="005D6250">
      <w:pPr>
        <w:rPr>
          <w:rFonts w:cs="Arial"/>
          <w:color w:val="000000" w:themeColor="text1"/>
        </w:rPr>
      </w:pPr>
    </w:p>
    <w:p w14:paraId="1C985464" w14:textId="77777777" w:rsidR="005D6250" w:rsidRPr="00801000" w:rsidRDefault="005D6250" w:rsidP="005D6250">
      <w:pPr>
        <w:rPr>
          <w:rFonts w:cs="Arial"/>
          <w:color w:val="000000" w:themeColor="text1"/>
        </w:rPr>
      </w:pPr>
      <w:r w:rsidRPr="00801000">
        <w:rPr>
          <w:rFonts w:cs="Arial"/>
          <w:color w:val="000000" w:themeColor="text1"/>
        </w:rPr>
        <w:t xml:space="preserve">This standing exemption was provided as such changes are considered as minor, machinery and deregulatory in nature. The exemption relates to the introduction of a food to the food supply that </w:t>
      </w:r>
      <w:r w:rsidR="005E6F40" w:rsidRPr="00801000">
        <w:rPr>
          <w:rFonts w:cs="Arial"/>
          <w:color w:val="000000" w:themeColor="text1"/>
        </w:rPr>
        <w:t>has been determined to be safe.</w:t>
      </w:r>
    </w:p>
    <w:p w14:paraId="1C985465" w14:textId="77777777" w:rsidR="005D6250" w:rsidRPr="00801000" w:rsidRDefault="005D6250" w:rsidP="005D6250">
      <w:pPr>
        <w:rPr>
          <w:color w:val="000000" w:themeColor="text1"/>
        </w:rPr>
      </w:pPr>
    </w:p>
    <w:p w14:paraId="1C985466" w14:textId="77777777" w:rsidR="005D6250" w:rsidRPr="00801000" w:rsidRDefault="005D6250" w:rsidP="005D6250">
      <w:pPr>
        <w:rPr>
          <w:color w:val="000000" w:themeColor="text1"/>
        </w:rPr>
      </w:pPr>
      <w:r w:rsidRPr="00801000">
        <w:rPr>
          <w:color w:val="000000" w:themeColor="text1"/>
        </w:rPr>
        <w:t>Notwithstanding the above exemption, FSANZ conducted a cost benefit analysis. That analysis found the direct and indirect benefits that would arise from a food regulatory measure developed or varied as a result of the Application outweigh the costs to the community, Government or industry that would arise from the development or variation of that measure.</w:t>
      </w:r>
    </w:p>
    <w:p w14:paraId="1C985467" w14:textId="77777777" w:rsidR="005D6250" w:rsidRPr="00801000" w:rsidRDefault="005D6250" w:rsidP="005D6250">
      <w:pPr>
        <w:rPr>
          <w:color w:val="000000" w:themeColor="text1"/>
        </w:rPr>
      </w:pPr>
    </w:p>
    <w:p w14:paraId="1C985468" w14:textId="77777777" w:rsidR="005D6250" w:rsidRPr="00801000" w:rsidRDefault="005D6250" w:rsidP="005D6250">
      <w:pPr>
        <w:rPr>
          <w:color w:val="000000" w:themeColor="text1"/>
        </w:rPr>
      </w:pPr>
      <w:r w:rsidRPr="00801000">
        <w:rPr>
          <w:color w:val="000000" w:themeColor="text1"/>
        </w:rPr>
        <w:t xml:space="preserve">A consideration of the cost/benefit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1C985469" w14:textId="77777777" w:rsidR="005D6250" w:rsidRPr="00801000" w:rsidRDefault="005D6250" w:rsidP="005D6250">
      <w:pPr>
        <w:rPr>
          <w:color w:val="000000" w:themeColor="text1"/>
        </w:rPr>
      </w:pPr>
    </w:p>
    <w:p w14:paraId="1C98546A" w14:textId="77777777" w:rsidR="005D6250" w:rsidRPr="00801000" w:rsidRDefault="005D6250" w:rsidP="005D6250">
      <w:pPr>
        <w:rPr>
          <w:color w:val="000000" w:themeColor="text1"/>
        </w:rPr>
      </w:pPr>
      <w:r w:rsidRPr="00801000">
        <w:rPr>
          <w:color w:val="000000" w:themeColor="text1"/>
        </w:rPr>
        <w:t xml:space="preserve">The cost/benefit analysis is based on </w:t>
      </w:r>
      <w:r w:rsidR="005E6F40" w:rsidRPr="00801000">
        <w:rPr>
          <w:color w:val="000000" w:themeColor="text1"/>
        </w:rPr>
        <w:t>E12</w:t>
      </w:r>
      <w:r w:rsidRPr="00801000">
        <w:rPr>
          <w:color w:val="000000" w:themeColor="text1"/>
        </w:rPr>
        <w:t xml:space="preserve"> being approved for growing in other countries since the Applicant has stated that </w:t>
      </w:r>
      <w:r w:rsidRPr="00801000">
        <w:rPr>
          <w:rFonts w:cs="Arial"/>
          <w:color w:val="000000" w:themeColor="text1"/>
        </w:rPr>
        <w:t xml:space="preserve">approval for cultivation in Australia or New Zealand is not currently being sought. Cultivation in Australia or New Zealand would require separate regulatory approval (see section </w:t>
      </w:r>
      <w:r w:rsidRPr="00801000">
        <w:rPr>
          <w:color w:val="000000" w:themeColor="text1"/>
        </w:rPr>
        <w:t>2.4.1.4).</w:t>
      </w:r>
    </w:p>
    <w:p w14:paraId="1C98546B" w14:textId="77777777" w:rsidR="005D6250" w:rsidRPr="00801000" w:rsidRDefault="005D6250" w:rsidP="005D6250">
      <w:pPr>
        <w:pStyle w:val="Heading4"/>
        <w:rPr>
          <w:b w:val="0"/>
          <w:color w:val="000000" w:themeColor="text1"/>
        </w:rPr>
      </w:pPr>
      <w:r w:rsidRPr="00801000">
        <w:rPr>
          <w:b w:val="0"/>
          <w:color w:val="000000" w:themeColor="text1"/>
        </w:rPr>
        <w:t>Option 1 – Prepare a draft variation to Schedule 26</w:t>
      </w:r>
    </w:p>
    <w:p w14:paraId="1C98546C" w14:textId="77777777" w:rsidR="005D6250" w:rsidRPr="00801000" w:rsidRDefault="005D6250" w:rsidP="005D6250">
      <w:pPr>
        <w:ind w:left="1418" w:hanging="1418"/>
        <w:rPr>
          <w:color w:val="000000" w:themeColor="text1"/>
        </w:rPr>
      </w:pPr>
      <w:r w:rsidRPr="00801000">
        <w:rPr>
          <w:i/>
          <w:color w:val="000000" w:themeColor="text1"/>
        </w:rPr>
        <w:t>Consumers:</w:t>
      </w:r>
      <w:r w:rsidRPr="00801000">
        <w:rPr>
          <w:color w:val="000000" w:themeColor="text1"/>
        </w:rPr>
        <w:tab/>
      </w:r>
      <w:r w:rsidR="005E6F40" w:rsidRPr="00801000">
        <w:rPr>
          <w:color w:val="000000" w:themeColor="text1"/>
        </w:rPr>
        <w:t>Food from E12</w:t>
      </w:r>
      <w:r w:rsidRPr="00801000">
        <w:rPr>
          <w:color w:val="000000" w:themeColor="text1"/>
        </w:rPr>
        <w:t xml:space="preserve"> has been assessed as being as safe as food fro</w:t>
      </w:r>
      <w:r w:rsidR="005E6F40" w:rsidRPr="00801000">
        <w:rPr>
          <w:color w:val="000000" w:themeColor="text1"/>
        </w:rPr>
        <w:t>m conventional cultivars of potato</w:t>
      </w:r>
      <w:r w:rsidRPr="00801000">
        <w:rPr>
          <w:color w:val="000000" w:themeColor="text1"/>
        </w:rPr>
        <w:t>.</w:t>
      </w:r>
    </w:p>
    <w:p w14:paraId="1C98546D" w14:textId="77777777" w:rsidR="005D6250" w:rsidRPr="00801000" w:rsidRDefault="005D6250" w:rsidP="005D6250">
      <w:pPr>
        <w:ind w:left="1418" w:hanging="1418"/>
        <w:rPr>
          <w:color w:val="000000" w:themeColor="text1"/>
        </w:rPr>
      </w:pPr>
    </w:p>
    <w:p w14:paraId="1C98546E" w14:textId="77777777" w:rsidR="005D6250" w:rsidRPr="00801000" w:rsidRDefault="005D6250" w:rsidP="005D6250">
      <w:pPr>
        <w:ind w:left="1418"/>
        <w:rPr>
          <w:color w:val="000000" w:themeColor="text1"/>
        </w:rPr>
      </w:pPr>
      <w:r w:rsidRPr="00801000">
        <w:rPr>
          <w:color w:val="000000" w:themeColor="text1"/>
        </w:rPr>
        <w:t>Broader availability of</w:t>
      </w:r>
      <w:r w:rsidR="005E6F40" w:rsidRPr="00801000">
        <w:rPr>
          <w:color w:val="000000" w:themeColor="text1"/>
        </w:rPr>
        <w:t xml:space="preserve"> imported potato</w:t>
      </w:r>
      <w:r w:rsidRPr="00801000">
        <w:rPr>
          <w:color w:val="000000" w:themeColor="text1"/>
        </w:rPr>
        <w:t xml:space="preserve"> products since, if </w:t>
      </w:r>
      <w:r w:rsidR="005E6F40" w:rsidRPr="00801000">
        <w:rPr>
          <w:color w:val="000000" w:themeColor="text1"/>
        </w:rPr>
        <w:t>E12</w:t>
      </w:r>
      <w:r w:rsidRPr="00801000">
        <w:rPr>
          <w:color w:val="000000" w:themeColor="text1"/>
        </w:rPr>
        <w:t xml:space="preserve"> is approved for commercial growing in other countries, there would be no restriction on imported foods containing this line.</w:t>
      </w:r>
    </w:p>
    <w:p w14:paraId="1C98546F" w14:textId="77777777" w:rsidR="005D6250" w:rsidRPr="00801000" w:rsidRDefault="005D6250" w:rsidP="005D6250">
      <w:pPr>
        <w:ind w:left="1418" w:hanging="1418"/>
        <w:rPr>
          <w:color w:val="000000" w:themeColor="text1"/>
        </w:rPr>
      </w:pPr>
    </w:p>
    <w:p w14:paraId="1C985470" w14:textId="5A4CBE10" w:rsidR="005D6250" w:rsidRPr="00801000" w:rsidRDefault="005E6F40" w:rsidP="005D6250">
      <w:pPr>
        <w:ind w:left="1418"/>
        <w:rPr>
          <w:color w:val="000000" w:themeColor="text1"/>
        </w:rPr>
      </w:pPr>
      <w:r w:rsidRPr="00801000">
        <w:rPr>
          <w:color w:val="000000" w:themeColor="text1"/>
        </w:rPr>
        <w:t>For those potato</w:t>
      </w:r>
      <w:r w:rsidR="005D6250" w:rsidRPr="00801000">
        <w:rPr>
          <w:color w:val="000000" w:themeColor="text1"/>
        </w:rPr>
        <w:t xml:space="preserve"> line </w:t>
      </w:r>
      <w:r w:rsidRPr="00801000">
        <w:rPr>
          <w:color w:val="000000" w:themeColor="text1"/>
        </w:rPr>
        <w:t>E12</w:t>
      </w:r>
      <w:r w:rsidR="005D6250" w:rsidRPr="00801000">
        <w:rPr>
          <w:color w:val="000000" w:themeColor="text1"/>
        </w:rPr>
        <w:t xml:space="preserve"> products contai</w:t>
      </w:r>
      <w:r w:rsidR="00801000" w:rsidRPr="00801000">
        <w:rPr>
          <w:color w:val="000000" w:themeColor="text1"/>
        </w:rPr>
        <w:t>ning novel DNA</w:t>
      </w:r>
      <w:r w:rsidR="00321E48">
        <w:rPr>
          <w:color w:val="000000" w:themeColor="text1"/>
        </w:rPr>
        <w:t>,</w:t>
      </w:r>
      <w:r w:rsidR="005D6250" w:rsidRPr="00801000">
        <w:rPr>
          <w:color w:val="000000" w:themeColor="text1"/>
        </w:rPr>
        <w:t xml:space="preserve"> labelling would allow consumers wishing to avoid these products to do so.</w:t>
      </w:r>
    </w:p>
    <w:p w14:paraId="1C985471" w14:textId="77777777" w:rsidR="005D6250" w:rsidRPr="00801000" w:rsidRDefault="005D6250" w:rsidP="005D6250">
      <w:pPr>
        <w:ind w:left="1418"/>
        <w:rPr>
          <w:color w:val="000000" w:themeColor="text1"/>
        </w:rPr>
      </w:pPr>
    </w:p>
    <w:p w14:paraId="1C985472" w14:textId="77777777" w:rsidR="005D6250" w:rsidRPr="00801000" w:rsidRDefault="005D6250" w:rsidP="005D6250">
      <w:pPr>
        <w:ind w:left="1418"/>
        <w:rPr>
          <w:color w:val="000000" w:themeColor="text1"/>
        </w:rPr>
      </w:pPr>
      <w:r w:rsidRPr="00801000">
        <w:rPr>
          <w:color w:val="000000" w:themeColor="text1"/>
        </w:rPr>
        <w:t xml:space="preserve">If </w:t>
      </w:r>
      <w:r w:rsidR="005E6F40" w:rsidRPr="00801000">
        <w:rPr>
          <w:color w:val="000000" w:themeColor="text1"/>
        </w:rPr>
        <w:t>E12</w:t>
      </w:r>
      <w:r w:rsidRPr="00801000">
        <w:rPr>
          <w:color w:val="000000" w:themeColor="text1"/>
        </w:rPr>
        <w:t xml:space="preserve"> is approved for commercial growing in overseas countries it could be used in the manufacture of products using co-mingled </w:t>
      </w:r>
      <w:r w:rsidR="005E6F40" w:rsidRPr="00801000">
        <w:rPr>
          <w:color w:val="000000" w:themeColor="text1"/>
        </w:rPr>
        <w:t>potato tubers</w:t>
      </w:r>
      <w:r w:rsidRPr="00801000">
        <w:rPr>
          <w:color w:val="000000" w:themeColor="text1"/>
        </w:rPr>
        <w:t xml:space="preserve">. This means that there would be no cost involved in having to exclude </w:t>
      </w:r>
      <w:r w:rsidR="005E6F40" w:rsidRPr="00801000">
        <w:rPr>
          <w:color w:val="000000" w:themeColor="text1"/>
        </w:rPr>
        <w:t>E12</w:t>
      </w:r>
      <w:r w:rsidRPr="00801000">
        <w:rPr>
          <w:color w:val="000000" w:themeColor="text1"/>
        </w:rPr>
        <w:t xml:space="preserve"> from co-mingling and hence that there would be no consequential need to increase the prices of imported foods that are manufactured using co-mingled </w:t>
      </w:r>
      <w:r w:rsidR="005E6F40" w:rsidRPr="00801000">
        <w:rPr>
          <w:color w:val="000000" w:themeColor="text1"/>
        </w:rPr>
        <w:t>potato tubers</w:t>
      </w:r>
      <w:r w:rsidRPr="00801000">
        <w:rPr>
          <w:color w:val="000000" w:themeColor="text1"/>
        </w:rPr>
        <w:t>.</w:t>
      </w:r>
    </w:p>
    <w:p w14:paraId="1C985473" w14:textId="77777777" w:rsidR="005D6250" w:rsidRPr="00801000" w:rsidRDefault="005D6250" w:rsidP="005D6250">
      <w:pPr>
        <w:ind w:left="1418" w:hanging="1418"/>
        <w:rPr>
          <w:color w:val="000000" w:themeColor="text1"/>
        </w:rPr>
      </w:pPr>
    </w:p>
    <w:p w14:paraId="1C985474" w14:textId="670696B2" w:rsidR="007D7B06" w:rsidRDefault="005D6250" w:rsidP="005D6250">
      <w:pPr>
        <w:ind w:left="1418" w:hanging="1418"/>
        <w:rPr>
          <w:color w:val="000000" w:themeColor="text1"/>
        </w:rPr>
      </w:pPr>
      <w:r w:rsidRPr="00801000">
        <w:rPr>
          <w:i/>
          <w:color w:val="000000" w:themeColor="text1"/>
        </w:rPr>
        <w:t>Government:</w:t>
      </w:r>
      <w:r w:rsidRPr="00801000">
        <w:rPr>
          <w:color w:val="000000" w:themeColor="text1"/>
        </w:rPr>
        <w:tab/>
        <w:t xml:space="preserve">Approval would avoid any conflict with WTO </w:t>
      </w:r>
      <w:r w:rsidR="002270A2">
        <w:rPr>
          <w:color w:val="000000" w:themeColor="text1"/>
        </w:rPr>
        <w:t>obligations</w:t>
      </w:r>
      <w:r w:rsidRPr="00801000">
        <w:rPr>
          <w:color w:val="000000" w:themeColor="text1"/>
        </w:rPr>
        <w:t xml:space="preserve">. As mentioned above, food from </w:t>
      </w:r>
      <w:r w:rsidR="005E6F40" w:rsidRPr="00801000">
        <w:rPr>
          <w:color w:val="000000" w:themeColor="text1"/>
        </w:rPr>
        <w:t>E12</w:t>
      </w:r>
      <w:r w:rsidRPr="00801000">
        <w:rPr>
          <w:color w:val="000000" w:themeColor="text1"/>
        </w:rPr>
        <w:t xml:space="preserve"> has been assessed as being as safe as food fro</w:t>
      </w:r>
      <w:r w:rsidR="005E6F40" w:rsidRPr="00801000">
        <w:rPr>
          <w:color w:val="000000" w:themeColor="text1"/>
        </w:rPr>
        <w:t>m conventional cultivars of potato.</w:t>
      </w:r>
      <w:r w:rsidR="007D7B06">
        <w:rPr>
          <w:color w:val="000000" w:themeColor="text1"/>
        </w:rPr>
        <w:br w:type="page"/>
      </w:r>
    </w:p>
    <w:p w14:paraId="1C985476" w14:textId="77777777" w:rsidR="005D6250" w:rsidRPr="00801000" w:rsidRDefault="005D6250" w:rsidP="005D6250">
      <w:pPr>
        <w:ind w:left="1418"/>
        <w:rPr>
          <w:color w:val="000000" w:themeColor="text1"/>
        </w:rPr>
      </w:pPr>
      <w:r w:rsidRPr="00801000">
        <w:rPr>
          <w:color w:val="000000" w:themeColor="text1"/>
        </w:rPr>
        <w:lastRenderedPageBreak/>
        <w:t xml:space="preserve">This option would be cost neutral in terms of compliance costs, as monitoring is required irrespective of whether or not a GM food is approved. </w:t>
      </w:r>
    </w:p>
    <w:p w14:paraId="1C985477" w14:textId="77777777" w:rsidR="005D6250" w:rsidRPr="00801000" w:rsidRDefault="005D6250" w:rsidP="005D6250">
      <w:pPr>
        <w:rPr>
          <w:color w:val="000000" w:themeColor="text1"/>
        </w:rPr>
      </w:pPr>
    </w:p>
    <w:p w14:paraId="1C985478" w14:textId="77777777" w:rsidR="005D6250" w:rsidRPr="00801000" w:rsidRDefault="005D6250" w:rsidP="005D6250">
      <w:pPr>
        <w:ind w:left="1418"/>
        <w:rPr>
          <w:color w:val="000000" w:themeColor="text1"/>
        </w:rPr>
      </w:pPr>
      <w:r w:rsidRPr="00801000">
        <w:rPr>
          <w:color w:val="000000" w:themeColor="text1"/>
        </w:rPr>
        <w:t xml:space="preserve">In the case of approved GM foods, monitoring is required to ensure compliance with the labelling requirements, and in the case of GM foods that have not been approved, monitoring is required to ensure they are not illegally entering the food supply. </w:t>
      </w:r>
    </w:p>
    <w:p w14:paraId="1C985479" w14:textId="77777777" w:rsidR="005D6250" w:rsidRPr="00801000" w:rsidRDefault="005D6250" w:rsidP="005D6250">
      <w:pPr>
        <w:rPr>
          <w:color w:val="000000" w:themeColor="text1"/>
        </w:rPr>
      </w:pPr>
    </w:p>
    <w:p w14:paraId="1C98547A" w14:textId="77777777" w:rsidR="005D6250" w:rsidRPr="00801000" w:rsidRDefault="005D6250" w:rsidP="005D6250">
      <w:pPr>
        <w:ind w:left="1418" w:hanging="1418"/>
        <w:rPr>
          <w:color w:val="000000" w:themeColor="text1"/>
        </w:rPr>
      </w:pPr>
      <w:r w:rsidRPr="00801000">
        <w:rPr>
          <w:i/>
          <w:color w:val="000000" w:themeColor="text1"/>
        </w:rPr>
        <w:t>Industry:</w:t>
      </w:r>
      <w:r w:rsidRPr="00801000">
        <w:rPr>
          <w:color w:val="000000" w:themeColor="text1"/>
        </w:rPr>
        <w:tab/>
        <w:t xml:space="preserve">Foods derived from </w:t>
      </w:r>
      <w:r w:rsidR="005E6F40" w:rsidRPr="00801000">
        <w:rPr>
          <w:color w:val="000000" w:themeColor="text1"/>
        </w:rPr>
        <w:t>E12</w:t>
      </w:r>
      <w:r w:rsidRPr="00801000">
        <w:rPr>
          <w:color w:val="000000" w:themeColor="text1"/>
        </w:rPr>
        <w:t xml:space="preserve"> would be permitted under the Code, allowing broader market access and increased choice in raw materials. </w:t>
      </w:r>
    </w:p>
    <w:p w14:paraId="1C98547B" w14:textId="77777777" w:rsidR="005D6250" w:rsidRPr="00801000" w:rsidRDefault="005D6250" w:rsidP="005D6250">
      <w:pPr>
        <w:ind w:left="1418" w:hanging="1418"/>
        <w:rPr>
          <w:color w:val="000000" w:themeColor="text1"/>
        </w:rPr>
      </w:pPr>
    </w:p>
    <w:p w14:paraId="1C98547C" w14:textId="77777777" w:rsidR="005D6250" w:rsidRPr="00801000" w:rsidRDefault="005D6250" w:rsidP="005D6250">
      <w:pPr>
        <w:ind w:left="1418"/>
        <w:rPr>
          <w:color w:val="000000" w:themeColor="text1"/>
        </w:rPr>
      </w:pPr>
      <w:r w:rsidRPr="00801000">
        <w:rPr>
          <w:color w:val="000000" w:themeColor="text1"/>
        </w:rPr>
        <w:t xml:space="preserve">The segregation of </w:t>
      </w:r>
      <w:r w:rsidR="00FD7B26" w:rsidRPr="00801000">
        <w:rPr>
          <w:color w:val="000000" w:themeColor="text1"/>
        </w:rPr>
        <w:t>tubers of E12 from conventional tubers</w:t>
      </w:r>
      <w:r w:rsidRPr="00801000">
        <w:rPr>
          <w:color w:val="000000" w:themeColor="text1"/>
        </w:rPr>
        <w:t>, as for any GM crop, will be driven by industry, based on market preferences. Implicit in this w</w:t>
      </w:r>
      <w:r w:rsidR="0000340F" w:rsidRPr="00801000">
        <w:rPr>
          <w:color w:val="000000" w:themeColor="text1"/>
        </w:rPr>
        <w:t>ill be a due regard to the cost</w:t>
      </w:r>
      <w:r w:rsidRPr="00801000">
        <w:rPr>
          <w:color w:val="000000" w:themeColor="text1"/>
        </w:rPr>
        <w:t xml:space="preserve"> of </w:t>
      </w:r>
      <w:r w:rsidR="00A65EA3" w:rsidRPr="00801000">
        <w:rPr>
          <w:color w:val="000000" w:themeColor="text1"/>
        </w:rPr>
        <w:t>segregation.</w:t>
      </w:r>
    </w:p>
    <w:p w14:paraId="1C98547D" w14:textId="77777777" w:rsidR="005D6250" w:rsidRPr="00801000" w:rsidRDefault="005D6250" w:rsidP="005D6250">
      <w:pPr>
        <w:ind w:left="1418"/>
        <w:rPr>
          <w:color w:val="000000" w:themeColor="text1"/>
        </w:rPr>
      </w:pPr>
    </w:p>
    <w:p w14:paraId="1C98547E" w14:textId="77777777" w:rsidR="005D6250" w:rsidRPr="00801000" w:rsidRDefault="005D6250" w:rsidP="005D6250">
      <w:pPr>
        <w:ind w:left="1418"/>
        <w:rPr>
          <w:color w:val="000000" w:themeColor="text1"/>
        </w:rPr>
      </w:pPr>
      <w:r w:rsidRPr="00801000">
        <w:rPr>
          <w:color w:val="000000" w:themeColor="text1"/>
        </w:rPr>
        <w:t>Retailers may be able to offer</w:t>
      </w:r>
      <w:r w:rsidR="005E6F40" w:rsidRPr="00801000">
        <w:rPr>
          <w:color w:val="000000" w:themeColor="text1"/>
        </w:rPr>
        <w:t xml:space="preserve"> a broader range of potato</w:t>
      </w:r>
      <w:r w:rsidRPr="00801000">
        <w:rPr>
          <w:color w:val="000000" w:themeColor="text1"/>
        </w:rPr>
        <w:t xml:space="preserve"> products or imported foo</w:t>
      </w:r>
      <w:r w:rsidR="005E6F40" w:rsidRPr="00801000">
        <w:rPr>
          <w:color w:val="000000" w:themeColor="text1"/>
        </w:rPr>
        <w:t>ds manufactured using potato</w:t>
      </w:r>
      <w:r w:rsidRPr="00801000">
        <w:rPr>
          <w:color w:val="000000" w:themeColor="text1"/>
        </w:rPr>
        <w:t xml:space="preserve"> derivatives.</w:t>
      </w:r>
    </w:p>
    <w:p w14:paraId="1C98547F" w14:textId="77777777" w:rsidR="005D6250" w:rsidRPr="00801000" w:rsidRDefault="005D6250" w:rsidP="005D6250">
      <w:pPr>
        <w:ind w:left="1418"/>
        <w:rPr>
          <w:color w:val="000000" w:themeColor="text1"/>
        </w:rPr>
      </w:pPr>
    </w:p>
    <w:p w14:paraId="1C985480" w14:textId="609713AC" w:rsidR="005D6250" w:rsidRPr="00801000" w:rsidRDefault="005D6250" w:rsidP="005D6250">
      <w:pPr>
        <w:ind w:left="1418"/>
        <w:rPr>
          <w:color w:val="000000" w:themeColor="text1"/>
        </w:rPr>
      </w:pPr>
      <w:r w:rsidRPr="00801000">
        <w:rPr>
          <w:color w:val="000000" w:themeColor="text1"/>
        </w:rPr>
        <w:t xml:space="preserve">There may be additional costs to the food industry as food ingredients derived from </w:t>
      </w:r>
      <w:r w:rsidR="005E6F40" w:rsidRPr="00801000">
        <w:rPr>
          <w:color w:val="000000" w:themeColor="text1"/>
        </w:rPr>
        <w:t>E12</w:t>
      </w:r>
      <w:r w:rsidRPr="00801000">
        <w:rPr>
          <w:color w:val="000000" w:themeColor="text1"/>
        </w:rPr>
        <w:t xml:space="preserve"> would require the ‘genetically modified’ labelling statement if they con</w:t>
      </w:r>
      <w:r w:rsidR="00801000" w:rsidRPr="00801000">
        <w:rPr>
          <w:color w:val="000000" w:themeColor="text1"/>
        </w:rPr>
        <w:t>tain novel DNA.</w:t>
      </w:r>
      <w:r w:rsidRPr="00801000">
        <w:rPr>
          <w:color w:val="000000" w:themeColor="text1"/>
        </w:rPr>
        <w:t xml:space="preserve"> </w:t>
      </w:r>
    </w:p>
    <w:p w14:paraId="1C985481" w14:textId="77777777" w:rsidR="005D6250" w:rsidRPr="00801000" w:rsidRDefault="005D6250" w:rsidP="005D6250">
      <w:pPr>
        <w:pStyle w:val="Heading4"/>
        <w:rPr>
          <w:b w:val="0"/>
          <w:color w:val="000000" w:themeColor="text1"/>
        </w:rPr>
      </w:pPr>
      <w:r w:rsidRPr="00801000">
        <w:rPr>
          <w:b w:val="0"/>
          <w:color w:val="000000" w:themeColor="text1"/>
        </w:rPr>
        <w:t xml:space="preserve"> Option 2 – Reject application</w:t>
      </w:r>
    </w:p>
    <w:p w14:paraId="1C985482" w14:textId="77777777" w:rsidR="005D6250" w:rsidRPr="00801000" w:rsidRDefault="005D6250" w:rsidP="005D6250">
      <w:pPr>
        <w:ind w:left="1418" w:hanging="1418"/>
        <w:rPr>
          <w:color w:val="000000" w:themeColor="text1"/>
        </w:rPr>
      </w:pPr>
      <w:r w:rsidRPr="00801000">
        <w:rPr>
          <w:i/>
          <w:color w:val="000000" w:themeColor="text1"/>
        </w:rPr>
        <w:t>Consumers:</w:t>
      </w:r>
      <w:r w:rsidRPr="00801000">
        <w:rPr>
          <w:color w:val="000000" w:themeColor="text1"/>
        </w:rPr>
        <w:tab/>
        <w:t>Possible restriction in the ava</w:t>
      </w:r>
      <w:r w:rsidR="00FD7B26" w:rsidRPr="00801000">
        <w:rPr>
          <w:color w:val="000000" w:themeColor="text1"/>
        </w:rPr>
        <w:t>ilability of imported potato</w:t>
      </w:r>
      <w:r w:rsidRPr="00801000">
        <w:rPr>
          <w:color w:val="000000" w:themeColor="text1"/>
        </w:rPr>
        <w:t xml:space="preserve"> products which may be produce</w:t>
      </w:r>
      <w:r w:rsidR="00FD7B26" w:rsidRPr="00801000">
        <w:rPr>
          <w:color w:val="000000" w:themeColor="text1"/>
        </w:rPr>
        <w:t>d after co-mingling of tubers of E12</w:t>
      </w:r>
      <w:r w:rsidRPr="00801000">
        <w:rPr>
          <w:color w:val="000000" w:themeColor="text1"/>
        </w:rPr>
        <w:t>.</w:t>
      </w:r>
    </w:p>
    <w:p w14:paraId="1C985483" w14:textId="77777777" w:rsidR="005D6250" w:rsidRPr="00801000" w:rsidRDefault="005D6250" w:rsidP="005D6250">
      <w:pPr>
        <w:ind w:left="1418" w:hanging="1418"/>
        <w:rPr>
          <w:color w:val="000000" w:themeColor="text1"/>
        </w:rPr>
      </w:pPr>
    </w:p>
    <w:p w14:paraId="1C985484" w14:textId="77777777" w:rsidR="005D6250" w:rsidRPr="00801000" w:rsidRDefault="005D6250" w:rsidP="005D6250">
      <w:pPr>
        <w:ind w:left="1418"/>
        <w:rPr>
          <w:color w:val="000000" w:themeColor="text1"/>
        </w:rPr>
      </w:pPr>
      <w:r w:rsidRPr="00801000">
        <w:rPr>
          <w:color w:val="000000" w:themeColor="text1"/>
        </w:rPr>
        <w:t xml:space="preserve">No effect on consumers wishing to avoid GM foods, as food from </w:t>
      </w:r>
      <w:r w:rsidR="00FD7B26" w:rsidRPr="00801000">
        <w:rPr>
          <w:color w:val="000000" w:themeColor="text1"/>
        </w:rPr>
        <w:t>E12</w:t>
      </w:r>
      <w:r w:rsidRPr="00801000">
        <w:rPr>
          <w:color w:val="000000" w:themeColor="text1"/>
        </w:rPr>
        <w:t xml:space="preserve"> is not currently permitted in the food supply. </w:t>
      </w:r>
    </w:p>
    <w:p w14:paraId="1C985485" w14:textId="77777777" w:rsidR="005D6250" w:rsidRPr="00801000" w:rsidRDefault="005D6250" w:rsidP="005D6250">
      <w:pPr>
        <w:ind w:left="1418"/>
        <w:rPr>
          <w:color w:val="000000" w:themeColor="text1"/>
        </w:rPr>
      </w:pPr>
    </w:p>
    <w:p w14:paraId="1C985486" w14:textId="77777777" w:rsidR="005D6250" w:rsidRPr="00801000" w:rsidRDefault="005D6250" w:rsidP="005D6250">
      <w:pPr>
        <w:ind w:left="1418"/>
        <w:rPr>
          <w:color w:val="000000" w:themeColor="text1"/>
        </w:rPr>
      </w:pPr>
      <w:r w:rsidRPr="00801000">
        <w:rPr>
          <w:color w:val="000000" w:themeColor="text1"/>
        </w:rPr>
        <w:t>Potential increase</w:t>
      </w:r>
      <w:r w:rsidR="00FD7B26" w:rsidRPr="00801000">
        <w:rPr>
          <w:color w:val="000000" w:themeColor="text1"/>
        </w:rPr>
        <w:t xml:space="preserve"> in price of imported potato food products</w:t>
      </w:r>
      <w:r w:rsidRPr="00801000">
        <w:rPr>
          <w:color w:val="000000" w:themeColor="text1"/>
        </w:rPr>
        <w:t xml:space="preserve"> due to requirement for segrega</w:t>
      </w:r>
      <w:r w:rsidR="00FD7B26" w:rsidRPr="00801000">
        <w:rPr>
          <w:color w:val="000000" w:themeColor="text1"/>
        </w:rPr>
        <w:t>tion of E12</w:t>
      </w:r>
      <w:r w:rsidRPr="00801000">
        <w:rPr>
          <w:color w:val="000000" w:themeColor="text1"/>
        </w:rPr>
        <w:t>.</w:t>
      </w:r>
    </w:p>
    <w:p w14:paraId="1C985487" w14:textId="77777777" w:rsidR="005D6250" w:rsidRPr="00801000" w:rsidRDefault="005D6250" w:rsidP="005D6250">
      <w:pPr>
        <w:ind w:left="1418"/>
        <w:rPr>
          <w:color w:val="000000" w:themeColor="text1"/>
        </w:rPr>
      </w:pPr>
    </w:p>
    <w:p w14:paraId="1C985488" w14:textId="77777777" w:rsidR="005D6250" w:rsidRPr="00801000" w:rsidRDefault="005D6250" w:rsidP="005D6250">
      <w:pPr>
        <w:ind w:left="1418" w:hanging="1418"/>
        <w:rPr>
          <w:color w:val="000000" w:themeColor="text1"/>
        </w:rPr>
      </w:pPr>
      <w:r w:rsidRPr="00801000">
        <w:rPr>
          <w:i/>
          <w:color w:val="000000" w:themeColor="text1"/>
        </w:rPr>
        <w:t>Government:</w:t>
      </w:r>
      <w:r w:rsidRPr="00801000">
        <w:rPr>
          <w:color w:val="000000" w:themeColor="text1"/>
        </w:rPr>
        <w:tab/>
        <w:t>Potential effect if considered inconsistent with WTO obligations but this would be in terms of trade policy rather than in government revenue.</w:t>
      </w:r>
    </w:p>
    <w:p w14:paraId="1C985489" w14:textId="77777777" w:rsidR="005D6250" w:rsidRPr="00801000" w:rsidRDefault="005D6250" w:rsidP="005D6250">
      <w:pPr>
        <w:ind w:left="1418" w:hanging="1418"/>
        <w:rPr>
          <w:color w:val="000000" w:themeColor="text1"/>
        </w:rPr>
      </w:pPr>
    </w:p>
    <w:p w14:paraId="1C98548A" w14:textId="77777777" w:rsidR="005D6250" w:rsidRPr="00801000" w:rsidRDefault="005D6250" w:rsidP="005D6250">
      <w:pPr>
        <w:ind w:left="1418" w:hanging="1418"/>
        <w:rPr>
          <w:color w:val="000000" w:themeColor="text1"/>
        </w:rPr>
      </w:pPr>
      <w:r w:rsidRPr="00801000">
        <w:rPr>
          <w:i/>
          <w:color w:val="000000" w:themeColor="text1"/>
        </w:rPr>
        <w:t>Industry:</w:t>
      </w:r>
      <w:r w:rsidRPr="00801000">
        <w:rPr>
          <w:color w:val="000000" w:themeColor="text1"/>
        </w:rPr>
        <w:t xml:space="preserve">  </w:t>
      </w:r>
      <w:r w:rsidRPr="00801000">
        <w:rPr>
          <w:color w:val="000000" w:themeColor="text1"/>
        </w:rPr>
        <w:tab/>
        <w:t xml:space="preserve">Possible restriction on imports of </w:t>
      </w:r>
      <w:r w:rsidR="00FD7B26" w:rsidRPr="00801000">
        <w:rPr>
          <w:color w:val="000000" w:themeColor="text1"/>
        </w:rPr>
        <w:t>potato</w:t>
      </w:r>
      <w:r w:rsidRPr="00801000">
        <w:rPr>
          <w:color w:val="000000" w:themeColor="text1"/>
        </w:rPr>
        <w:t xml:space="preserve"> food products, if </w:t>
      </w:r>
      <w:r w:rsidR="00FD7B26" w:rsidRPr="00801000">
        <w:rPr>
          <w:color w:val="000000" w:themeColor="text1"/>
        </w:rPr>
        <w:t>E12</w:t>
      </w:r>
      <w:r w:rsidRPr="00801000">
        <w:rPr>
          <w:color w:val="000000" w:themeColor="text1"/>
        </w:rPr>
        <w:t xml:space="preserve"> is commercialised overseas.</w:t>
      </w:r>
    </w:p>
    <w:p w14:paraId="1C98548B" w14:textId="77777777" w:rsidR="005D6250" w:rsidRPr="00801000" w:rsidRDefault="005D6250" w:rsidP="005D6250">
      <w:pPr>
        <w:rPr>
          <w:color w:val="000000" w:themeColor="text1"/>
        </w:rPr>
      </w:pPr>
    </w:p>
    <w:p w14:paraId="1C98548C" w14:textId="28C846E8" w:rsidR="005D6250" w:rsidRPr="00801000" w:rsidRDefault="005D6250" w:rsidP="005D6250">
      <w:pPr>
        <w:rPr>
          <w:color w:val="000000" w:themeColor="text1"/>
        </w:rPr>
      </w:pPr>
      <w:r w:rsidRPr="00801000">
        <w:rPr>
          <w:color w:val="000000" w:themeColor="text1"/>
        </w:rPr>
        <w:t xml:space="preserve">As food from </w:t>
      </w:r>
      <w:r w:rsidR="00FD7B26" w:rsidRPr="00801000">
        <w:rPr>
          <w:color w:val="000000" w:themeColor="text1"/>
        </w:rPr>
        <w:t>E12</w:t>
      </w:r>
      <w:r w:rsidRPr="00801000">
        <w:rPr>
          <w:color w:val="000000" w:themeColor="text1"/>
        </w:rPr>
        <w:t xml:space="preserve"> has been found to be as safe as food from c</w:t>
      </w:r>
      <w:r w:rsidR="004D15CD" w:rsidRPr="00801000">
        <w:rPr>
          <w:color w:val="000000" w:themeColor="text1"/>
        </w:rPr>
        <w:t>onventional cultivars of potato</w:t>
      </w:r>
      <w:r w:rsidRPr="00801000">
        <w:rPr>
          <w:color w:val="000000" w:themeColor="text1"/>
        </w:rPr>
        <w:t xml:space="preserve">, not preparing a draft variation </w:t>
      </w:r>
      <w:r w:rsidR="00853037">
        <w:rPr>
          <w:color w:val="000000" w:themeColor="text1"/>
        </w:rPr>
        <w:t>offers</w:t>
      </w:r>
      <w:r w:rsidRPr="00801000">
        <w:rPr>
          <w:color w:val="000000" w:themeColor="text1"/>
        </w:rPr>
        <w:t xml:space="preserve"> little benefit to consumers, as approval of </w:t>
      </w:r>
      <w:r w:rsidR="00FD7B26" w:rsidRPr="00801000">
        <w:rPr>
          <w:color w:val="000000" w:themeColor="text1"/>
        </w:rPr>
        <w:t>E12</w:t>
      </w:r>
      <w:r w:rsidRPr="00801000">
        <w:rPr>
          <w:color w:val="000000" w:themeColor="text1"/>
        </w:rPr>
        <w:t xml:space="preserve"> by other countries could limit the availability of imported </w:t>
      </w:r>
      <w:r w:rsidR="00FD7B26" w:rsidRPr="00801000">
        <w:rPr>
          <w:color w:val="000000" w:themeColor="text1"/>
        </w:rPr>
        <w:t>potato</w:t>
      </w:r>
      <w:r w:rsidRPr="00801000">
        <w:rPr>
          <w:color w:val="000000" w:themeColor="text1"/>
        </w:rPr>
        <w:t xml:space="preserve"> products in the Australian and New Zealand markets.</w:t>
      </w:r>
    </w:p>
    <w:p w14:paraId="1C98548D" w14:textId="77777777" w:rsidR="005D6250" w:rsidRPr="00801000" w:rsidRDefault="005D6250" w:rsidP="005D6250">
      <w:pPr>
        <w:rPr>
          <w:color w:val="000000" w:themeColor="text1"/>
        </w:rPr>
      </w:pPr>
    </w:p>
    <w:p w14:paraId="1C98548E" w14:textId="77777777" w:rsidR="005D6250" w:rsidRPr="00801000" w:rsidRDefault="005D6250" w:rsidP="005D6250">
      <w:pPr>
        <w:rPr>
          <w:color w:val="000000" w:themeColor="text1"/>
        </w:rPr>
      </w:pPr>
      <w:r w:rsidRPr="00801000">
        <w:rPr>
          <w:color w:val="000000" w:themeColor="text1"/>
        </w:rPr>
        <w:t xml:space="preserve">FSANZ has decided to prepare a draft variation to Schedule 26 because the potential benefits of approving the variation outweigh the potential costs, and because no public health or safety concerns resulting from consumption of food derived from </w:t>
      </w:r>
      <w:r w:rsidR="00FD7B26" w:rsidRPr="00801000">
        <w:rPr>
          <w:color w:val="000000" w:themeColor="text1"/>
        </w:rPr>
        <w:t>E12</w:t>
      </w:r>
      <w:r w:rsidRPr="00801000">
        <w:rPr>
          <w:color w:val="000000" w:themeColor="text1"/>
        </w:rPr>
        <w:t xml:space="preserve"> were identified in the safety assessment.</w:t>
      </w:r>
    </w:p>
    <w:p w14:paraId="1C98548F" w14:textId="77777777" w:rsidR="00726C2F" w:rsidRPr="00DA1ABB" w:rsidRDefault="00AD4249" w:rsidP="00726C2F">
      <w:pPr>
        <w:pStyle w:val="Heading4"/>
        <w:rPr>
          <w:color w:val="000000" w:themeColor="text1"/>
        </w:rPr>
      </w:pPr>
      <w:r w:rsidRPr="00DA1ABB">
        <w:rPr>
          <w:color w:val="000000" w:themeColor="text1"/>
        </w:rPr>
        <w:t>2.4</w:t>
      </w:r>
      <w:r w:rsidR="00726C2F" w:rsidRPr="00DA1ABB">
        <w:rPr>
          <w:color w:val="000000" w:themeColor="text1"/>
        </w:rPr>
        <w:t>.1.2</w:t>
      </w:r>
      <w:r w:rsidR="00726C2F" w:rsidRPr="00DA1ABB">
        <w:rPr>
          <w:color w:val="000000" w:themeColor="text1"/>
        </w:rPr>
        <w:tab/>
        <w:t>Other measures</w:t>
      </w:r>
    </w:p>
    <w:p w14:paraId="1C985490" w14:textId="22515F75" w:rsidR="007D7B06" w:rsidRDefault="00726C2F" w:rsidP="00726C2F">
      <w:pPr>
        <w:rPr>
          <w:color w:val="000000" w:themeColor="text1"/>
        </w:rPr>
      </w:pPr>
      <w:r w:rsidRPr="00DA1ABB">
        <w:rPr>
          <w:color w:val="000000" w:themeColor="text1"/>
        </w:rPr>
        <w:t xml:space="preserve">There are no other measures (whether available to FSANZ or not) that would be more cost-effective than a food regulatory measure developed or varied as a result of the </w:t>
      </w:r>
      <w:r w:rsidR="00FD7B26" w:rsidRPr="00DA1ABB">
        <w:rPr>
          <w:color w:val="000000" w:themeColor="text1"/>
        </w:rPr>
        <w:t>Application A1128</w:t>
      </w:r>
      <w:r w:rsidRPr="00DA1ABB">
        <w:rPr>
          <w:color w:val="000000" w:themeColor="text1"/>
        </w:rPr>
        <w:t>.</w:t>
      </w:r>
      <w:r w:rsidR="007D7B06">
        <w:rPr>
          <w:color w:val="000000" w:themeColor="text1"/>
        </w:rPr>
        <w:br w:type="page"/>
      </w:r>
    </w:p>
    <w:p w14:paraId="1C985491" w14:textId="77777777" w:rsidR="00726C2F" w:rsidRPr="00DA1ABB" w:rsidRDefault="00AD4249" w:rsidP="008B0075">
      <w:pPr>
        <w:pStyle w:val="Heading4"/>
        <w:rPr>
          <w:color w:val="000000" w:themeColor="text1"/>
        </w:rPr>
      </w:pPr>
      <w:r w:rsidRPr="00DA1ABB">
        <w:rPr>
          <w:color w:val="000000" w:themeColor="text1"/>
        </w:rPr>
        <w:lastRenderedPageBreak/>
        <w:t>2.4</w:t>
      </w:r>
      <w:r w:rsidR="008B0075" w:rsidRPr="00DA1ABB">
        <w:rPr>
          <w:color w:val="000000" w:themeColor="text1"/>
        </w:rPr>
        <w:t>.1.3</w:t>
      </w:r>
      <w:r w:rsidR="008B0075" w:rsidRPr="00DA1ABB">
        <w:rPr>
          <w:color w:val="000000" w:themeColor="text1"/>
        </w:rPr>
        <w:tab/>
        <w:t>A</w:t>
      </w:r>
      <w:r w:rsidR="00726C2F" w:rsidRPr="00DA1ABB">
        <w:rPr>
          <w:color w:val="000000" w:themeColor="text1"/>
        </w:rPr>
        <w:t>ny relevant New Zealand standards</w:t>
      </w:r>
    </w:p>
    <w:p w14:paraId="1C985492" w14:textId="77777777" w:rsidR="008B0075" w:rsidRPr="00DA1ABB" w:rsidRDefault="00AD4249" w:rsidP="008B0075">
      <w:pPr>
        <w:rPr>
          <w:color w:val="000000" w:themeColor="text1"/>
          <w:lang w:bidi="ar-SA"/>
        </w:rPr>
      </w:pPr>
      <w:r w:rsidRPr="00DA1ABB">
        <w:rPr>
          <w:color w:val="000000" w:themeColor="text1"/>
          <w:lang w:bidi="ar-SA"/>
        </w:rPr>
        <w:t>Schedule 26 applies in New Zealand.</w:t>
      </w:r>
    </w:p>
    <w:p w14:paraId="1C985493" w14:textId="77777777" w:rsidR="00726C2F" w:rsidRPr="00DA1ABB" w:rsidRDefault="00AD4249" w:rsidP="00BE3818">
      <w:pPr>
        <w:pStyle w:val="Heading4"/>
        <w:rPr>
          <w:color w:val="000000" w:themeColor="text1"/>
        </w:rPr>
      </w:pPr>
      <w:r w:rsidRPr="00DA1ABB">
        <w:rPr>
          <w:color w:val="000000" w:themeColor="text1"/>
        </w:rPr>
        <w:t>2.4</w:t>
      </w:r>
      <w:r w:rsidR="00BE3818" w:rsidRPr="00DA1ABB">
        <w:rPr>
          <w:color w:val="000000" w:themeColor="text1"/>
        </w:rPr>
        <w:t>.1.4</w:t>
      </w:r>
      <w:r w:rsidR="00BE3818" w:rsidRPr="00DA1ABB">
        <w:rPr>
          <w:color w:val="000000" w:themeColor="text1"/>
        </w:rPr>
        <w:tab/>
      </w:r>
      <w:r w:rsidR="0027513D" w:rsidRPr="00DA1ABB">
        <w:rPr>
          <w:color w:val="000000" w:themeColor="text1"/>
        </w:rPr>
        <w:t>A</w:t>
      </w:r>
      <w:r w:rsidR="00BE3818" w:rsidRPr="00DA1ABB">
        <w:rPr>
          <w:color w:val="000000" w:themeColor="text1"/>
        </w:rPr>
        <w:t>ny other relevant matters</w:t>
      </w:r>
    </w:p>
    <w:p w14:paraId="1C985494" w14:textId="77777777" w:rsidR="008B5567" w:rsidRPr="00DA1ABB" w:rsidRDefault="000630D7" w:rsidP="008B5567">
      <w:pPr>
        <w:rPr>
          <w:color w:val="000000" w:themeColor="text1"/>
        </w:rPr>
      </w:pPr>
      <w:r w:rsidRPr="00DA1ABB">
        <w:rPr>
          <w:color w:val="000000" w:themeColor="text1"/>
        </w:rPr>
        <w:t>The Applicant has submitted applications for regulatory approval of E12 to a number of other countries, as listed in Table 1.</w:t>
      </w:r>
    </w:p>
    <w:p w14:paraId="1C985495" w14:textId="77777777" w:rsidR="001F583E" w:rsidRPr="00DA1ABB" w:rsidRDefault="001F583E" w:rsidP="008B5567">
      <w:pPr>
        <w:rPr>
          <w:color w:val="000000" w:themeColor="text1"/>
        </w:rPr>
      </w:pPr>
    </w:p>
    <w:p w14:paraId="3959490F" w14:textId="77777777" w:rsidR="001E0CD5" w:rsidRDefault="001F583E" w:rsidP="001F583E">
      <w:pPr>
        <w:rPr>
          <w:color w:val="000000" w:themeColor="text1"/>
        </w:rPr>
      </w:pPr>
      <w:r w:rsidRPr="00DA1ABB">
        <w:rPr>
          <w:color w:val="000000" w:themeColor="text1"/>
        </w:rPr>
        <w:t xml:space="preserve">The Applicant has stated they currently have no intention to apply for approval to cultivate line E12 in either Australia or New Zealand. </w:t>
      </w:r>
    </w:p>
    <w:p w14:paraId="7415BDB7" w14:textId="77777777" w:rsidR="001E0CD5" w:rsidRDefault="001E0CD5" w:rsidP="001F583E">
      <w:pPr>
        <w:rPr>
          <w:color w:val="000000" w:themeColor="text1"/>
        </w:rPr>
      </w:pPr>
    </w:p>
    <w:p w14:paraId="1C985496" w14:textId="73F06F40" w:rsidR="001F583E" w:rsidRPr="00DA1ABB" w:rsidRDefault="001F583E" w:rsidP="001F583E">
      <w:pPr>
        <w:rPr>
          <w:color w:val="000000" w:themeColor="text1"/>
        </w:rPr>
      </w:pPr>
      <w:r w:rsidRPr="00DA1ABB">
        <w:rPr>
          <w:color w:val="000000" w:themeColor="text1"/>
        </w:rPr>
        <w:t xml:space="preserve">Cultivation in Australia or New Zealand would require independent assessment and approval by the Office of the Gene Technology Regulator in Australia and by the Environmental Protection Authority in New Zealand. </w:t>
      </w:r>
    </w:p>
    <w:p w14:paraId="1C985497" w14:textId="77777777" w:rsidR="00816719" w:rsidRDefault="00816719" w:rsidP="008B5567"/>
    <w:p w14:paraId="1C985498" w14:textId="77777777" w:rsidR="006650D1" w:rsidRDefault="006650D1" w:rsidP="006650D1">
      <w:pPr>
        <w:rPr>
          <w:b/>
          <w:bCs/>
          <w:iCs/>
          <w:lang w:val="en-AU"/>
        </w:rPr>
      </w:pPr>
      <w:r w:rsidRPr="006650D1">
        <w:rPr>
          <w:b/>
          <w:bCs/>
          <w:iCs/>
          <w:lang w:val="en-AU"/>
        </w:rPr>
        <w:t xml:space="preserve">Table 1: List of countries to whom applications for </w:t>
      </w:r>
      <w:r>
        <w:rPr>
          <w:b/>
          <w:bCs/>
          <w:iCs/>
          <w:lang w:val="en-AU"/>
        </w:rPr>
        <w:t xml:space="preserve">regulatory approval of E12 </w:t>
      </w:r>
      <w:r w:rsidRPr="006650D1">
        <w:rPr>
          <w:b/>
          <w:bCs/>
          <w:iCs/>
          <w:lang w:val="en-AU"/>
        </w:rPr>
        <w:t>have been submitted</w:t>
      </w:r>
    </w:p>
    <w:p w14:paraId="1E5CA3B6" w14:textId="77777777" w:rsidR="007D7B06" w:rsidRPr="006650D1" w:rsidRDefault="007D7B06" w:rsidP="006650D1">
      <w:pPr>
        <w:rPr>
          <w:b/>
          <w:bCs/>
          <w:iCs/>
          <w:lang w:val="en-AU"/>
        </w:rPr>
      </w:pPr>
    </w:p>
    <w:tbl>
      <w:tblPr>
        <w:tblW w:w="91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8"/>
        <w:gridCol w:w="3685"/>
        <w:gridCol w:w="1969"/>
        <w:gridCol w:w="2381"/>
      </w:tblGrid>
      <w:tr w:rsidR="00816719" w:rsidRPr="00816719" w14:paraId="1C98549D" w14:textId="77777777" w:rsidTr="00037CB8">
        <w:trPr>
          <w:trHeight w:val="327"/>
          <w:tblHeader/>
        </w:trPr>
        <w:tc>
          <w:tcPr>
            <w:tcW w:w="1158" w:type="dxa"/>
            <w:shd w:val="clear" w:color="auto" w:fill="9BBB59" w:themeFill="accent3"/>
            <w:noWrap/>
            <w:tcMar>
              <w:top w:w="0" w:type="dxa"/>
              <w:left w:w="108" w:type="dxa"/>
              <w:bottom w:w="0" w:type="dxa"/>
              <w:right w:w="108" w:type="dxa"/>
            </w:tcMar>
            <w:vAlign w:val="center"/>
            <w:hideMark/>
          </w:tcPr>
          <w:p w14:paraId="1C985499" w14:textId="77777777" w:rsidR="00816719" w:rsidRPr="00816719" w:rsidRDefault="00816719" w:rsidP="00037CB8">
            <w:pPr>
              <w:jc w:val="center"/>
            </w:pPr>
            <w:r w:rsidRPr="00816719">
              <w:rPr>
                <w:b/>
                <w:bCs/>
              </w:rPr>
              <w:t>Country</w:t>
            </w:r>
          </w:p>
        </w:tc>
        <w:tc>
          <w:tcPr>
            <w:tcW w:w="3685" w:type="dxa"/>
            <w:shd w:val="clear" w:color="auto" w:fill="9BBB59" w:themeFill="accent3"/>
            <w:noWrap/>
            <w:tcMar>
              <w:top w:w="0" w:type="dxa"/>
              <w:left w:w="108" w:type="dxa"/>
              <w:bottom w:w="0" w:type="dxa"/>
              <w:right w:w="108" w:type="dxa"/>
            </w:tcMar>
            <w:vAlign w:val="center"/>
            <w:hideMark/>
          </w:tcPr>
          <w:p w14:paraId="1C98549A" w14:textId="77777777" w:rsidR="00816719" w:rsidRPr="00816719" w:rsidRDefault="00816719" w:rsidP="00037CB8">
            <w:pPr>
              <w:jc w:val="center"/>
            </w:pPr>
            <w:r w:rsidRPr="00816719">
              <w:rPr>
                <w:b/>
                <w:bCs/>
              </w:rPr>
              <w:t>Agency</w:t>
            </w:r>
          </w:p>
        </w:tc>
        <w:tc>
          <w:tcPr>
            <w:tcW w:w="1969" w:type="dxa"/>
            <w:shd w:val="clear" w:color="auto" w:fill="9BBB59" w:themeFill="accent3"/>
            <w:vAlign w:val="center"/>
            <w:hideMark/>
          </w:tcPr>
          <w:p w14:paraId="1C98549B" w14:textId="77777777" w:rsidR="00816719" w:rsidRPr="00816719" w:rsidRDefault="00816719" w:rsidP="00037CB8">
            <w:pPr>
              <w:jc w:val="center"/>
              <w:rPr>
                <w:b/>
                <w:bCs/>
              </w:rPr>
            </w:pPr>
            <w:r w:rsidRPr="00816719">
              <w:rPr>
                <w:b/>
                <w:bCs/>
              </w:rPr>
              <w:t>Type of approval sought</w:t>
            </w:r>
          </w:p>
        </w:tc>
        <w:tc>
          <w:tcPr>
            <w:tcW w:w="2381" w:type="dxa"/>
            <w:shd w:val="clear" w:color="auto" w:fill="9BBB59" w:themeFill="accent3"/>
            <w:vAlign w:val="center"/>
          </w:tcPr>
          <w:p w14:paraId="1C98549C" w14:textId="77777777" w:rsidR="00816719" w:rsidRPr="00816719" w:rsidRDefault="00816719" w:rsidP="00037CB8">
            <w:pPr>
              <w:jc w:val="center"/>
              <w:rPr>
                <w:b/>
                <w:bCs/>
              </w:rPr>
            </w:pPr>
            <w:r w:rsidRPr="00816719">
              <w:rPr>
                <w:b/>
                <w:bCs/>
              </w:rPr>
              <w:t>Status</w:t>
            </w:r>
          </w:p>
        </w:tc>
      </w:tr>
      <w:tr w:rsidR="00816719" w:rsidRPr="00816719" w14:paraId="1C9854A2" w14:textId="77777777" w:rsidTr="004F5B70">
        <w:trPr>
          <w:trHeight w:val="339"/>
        </w:trPr>
        <w:tc>
          <w:tcPr>
            <w:tcW w:w="1158" w:type="dxa"/>
            <w:vMerge w:val="restart"/>
            <w:shd w:val="clear" w:color="auto" w:fill="EAF1DD" w:themeFill="accent3" w:themeFillTint="33"/>
            <w:vAlign w:val="center"/>
            <w:hideMark/>
          </w:tcPr>
          <w:p w14:paraId="1C98549E" w14:textId="77777777" w:rsidR="00816719" w:rsidRPr="00DA1ABB" w:rsidRDefault="00816719" w:rsidP="00037CB8">
            <w:pPr>
              <w:jc w:val="center"/>
              <w:rPr>
                <w:sz w:val="20"/>
                <w:szCs w:val="20"/>
              </w:rPr>
            </w:pPr>
            <w:r w:rsidRPr="00DA1ABB">
              <w:rPr>
                <w:sz w:val="20"/>
                <w:szCs w:val="20"/>
              </w:rPr>
              <w:t>USA</w:t>
            </w:r>
          </w:p>
        </w:tc>
        <w:tc>
          <w:tcPr>
            <w:tcW w:w="3685" w:type="dxa"/>
            <w:shd w:val="clear" w:color="auto" w:fill="EAF1DD" w:themeFill="accent3" w:themeFillTint="33"/>
            <w:tcMar>
              <w:top w:w="0" w:type="dxa"/>
              <w:left w:w="108" w:type="dxa"/>
              <w:bottom w:w="0" w:type="dxa"/>
              <w:right w:w="108" w:type="dxa"/>
            </w:tcMar>
            <w:vAlign w:val="center"/>
            <w:hideMark/>
          </w:tcPr>
          <w:p w14:paraId="1C98549F" w14:textId="77777777" w:rsidR="00816719" w:rsidRPr="00DA1ABB" w:rsidRDefault="00816719" w:rsidP="00816719">
            <w:pPr>
              <w:rPr>
                <w:sz w:val="20"/>
                <w:szCs w:val="20"/>
              </w:rPr>
            </w:pPr>
            <w:r w:rsidRPr="00DA1ABB">
              <w:rPr>
                <w:sz w:val="20"/>
                <w:szCs w:val="20"/>
              </w:rPr>
              <w:t xml:space="preserve">U.S. Department of Agriculture (USDA) </w:t>
            </w:r>
          </w:p>
        </w:tc>
        <w:tc>
          <w:tcPr>
            <w:tcW w:w="1969" w:type="dxa"/>
            <w:shd w:val="clear" w:color="auto" w:fill="EAF1DD" w:themeFill="accent3" w:themeFillTint="33"/>
            <w:vAlign w:val="center"/>
            <w:hideMark/>
          </w:tcPr>
          <w:p w14:paraId="1C9854A0" w14:textId="4B509D23" w:rsidR="00816719" w:rsidRPr="001E0CD5" w:rsidRDefault="001E0CD5" w:rsidP="00037CB8">
            <w:pPr>
              <w:jc w:val="center"/>
              <w:rPr>
                <w:sz w:val="20"/>
                <w:szCs w:val="20"/>
                <w:vertAlign w:val="superscript"/>
              </w:rPr>
            </w:pPr>
            <w:r>
              <w:rPr>
                <w:sz w:val="20"/>
                <w:szCs w:val="20"/>
              </w:rPr>
              <w:t>e</w:t>
            </w:r>
            <w:r w:rsidR="00816719" w:rsidRPr="00DA1ABB">
              <w:rPr>
                <w:sz w:val="20"/>
                <w:szCs w:val="20"/>
              </w:rPr>
              <w:t>nvironment</w:t>
            </w:r>
            <w:r>
              <w:rPr>
                <w:sz w:val="20"/>
                <w:szCs w:val="20"/>
                <w:vertAlign w:val="superscript"/>
              </w:rPr>
              <w:t>1</w:t>
            </w:r>
          </w:p>
        </w:tc>
        <w:tc>
          <w:tcPr>
            <w:tcW w:w="2381" w:type="dxa"/>
            <w:shd w:val="clear" w:color="auto" w:fill="EAF1DD" w:themeFill="accent3" w:themeFillTint="33"/>
            <w:vAlign w:val="center"/>
          </w:tcPr>
          <w:p w14:paraId="1C9854A1" w14:textId="77777777" w:rsidR="00816719" w:rsidRPr="00DA1ABB" w:rsidRDefault="00037CB8" w:rsidP="00037CB8">
            <w:pPr>
              <w:jc w:val="center"/>
              <w:rPr>
                <w:sz w:val="20"/>
                <w:szCs w:val="20"/>
              </w:rPr>
            </w:pPr>
            <w:r w:rsidRPr="00DA1ABB">
              <w:rPr>
                <w:sz w:val="20"/>
                <w:szCs w:val="20"/>
              </w:rPr>
              <w:t>Approved 2014</w:t>
            </w:r>
          </w:p>
        </w:tc>
      </w:tr>
      <w:tr w:rsidR="00816719" w:rsidRPr="00816719" w14:paraId="1C9854A7" w14:textId="77777777" w:rsidTr="00037CB8">
        <w:trPr>
          <w:trHeight w:val="506"/>
        </w:trPr>
        <w:tc>
          <w:tcPr>
            <w:tcW w:w="1158" w:type="dxa"/>
            <w:vMerge/>
            <w:shd w:val="clear" w:color="auto" w:fill="EAF1DD" w:themeFill="accent3" w:themeFillTint="33"/>
            <w:vAlign w:val="center"/>
            <w:hideMark/>
          </w:tcPr>
          <w:p w14:paraId="1C9854A3" w14:textId="77777777" w:rsidR="00816719" w:rsidRPr="00DA1ABB" w:rsidRDefault="00816719" w:rsidP="00037CB8">
            <w:pPr>
              <w:jc w:val="center"/>
              <w:rPr>
                <w:sz w:val="20"/>
                <w:szCs w:val="20"/>
              </w:rPr>
            </w:pPr>
          </w:p>
        </w:tc>
        <w:tc>
          <w:tcPr>
            <w:tcW w:w="3685" w:type="dxa"/>
            <w:shd w:val="clear" w:color="auto" w:fill="EAF1DD" w:themeFill="accent3" w:themeFillTint="33"/>
            <w:tcMar>
              <w:top w:w="0" w:type="dxa"/>
              <w:left w:w="108" w:type="dxa"/>
              <w:bottom w:w="0" w:type="dxa"/>
              <w:right w:w="108" w:type="dxa"/>
            </w:tcMar>
            <w:vAlign w:val="center"/>
            <w:hideMark/>
          </w:tcPr>
          <w:p w14:paraId="1C9854A4" w14:textId="77777777" w:rsidR="00816719" w:rsidRPr="00DA1ABB" w:rsidRDefault="00816719" w:rsidP="00816719">
            <w:pPr>
              <w:rPr>
                <w:sz w:val="20"/>
                <w:szCs w:val="20"/>
              </w:rPr>
            </w:pPr>
            <w:r w:rsidRPr="00DA1ABB">
              <w:rPr>
                <w:sz w:val="20"/>
                <w:szCs w:val="20"/>
              </w:rPr>
              <w:t>Food &amp; Drug Administration (FDA)</w:t>
            </w:r>
          </w:p>
        </w:tc>
        <w:tc>
          <w:tcPr>
            <w:tcW w:w="1969" w:type="dxa"/>
            <w:shd w:val="clear" w:color="auto" w:fill="EAF1DD" w:themeFill="accent3" w:themeFillTint="33"/>
            <w:vAlign w:val="center"/>
            <w:hideMark/>
          </w:tcPr>
          <w:p w14:paraId="1C9854A5" w14:textId="77777777" w:rsidR="00816719" w:rsidRPr="00DA1ABB" w:rsidRDefault="00037CB8" w:rsidP="00037CB8">
            <w:pPr>
              <w:jc w:val="center"/>
              <w:rPr>
                <w:sz w:val="20"/>
                <w:szCs w:val="20"/>
              </w:rPr>
            </w:pPr>
            <w:r w:rsidRPr="00DA1ABB">
              <w:rPr>
                <w:sz w:val="20"/>
                <w:szCs w:val="20"/>
              </w:rPr>
              <w:t xml:space="preserve">food &amp; </w:t>
            </w:r>
            <w:r w:rsidR="00816719" w:rsidRPr="00DA1ABB">
              <w:rPr>
                <w:sz w:val="20"/>
                <w:szCs w:val="20"/>
              </w:rPr>
              <w:t>feed</w:t>
            </w:r>
          </w:p>
        </w:tc>
        <w:tc>
          <w:tcPr>
            <w:tcW w:w="2381" w:type="dxa"/>
            <w:shd w:val="clear" w:color="auto" w:fill="EAF1DD" w:themeFill="accent3" w:themeFillTint="33"/>
            <w:vAlign w:val="center"/>
          </w:tcPr>
          <w:p w14:paraId="1C9854A6" w14:textId="77777777" w:rsidR="00816719" w:rsidRPr="00DA1ABB" w:rsidRDefault="00037CB8" w:rsidP="00037CB8">
            <w:pPr>
              <w:jc w:val="center"/>
              <w:rPr>
                <w:sz w:val="20"/>
                <w:szCs w:val="20"/>
              </w:rPr>
            </w:pPr>
            <w:r w:rsidRPr="00DA1ABB">
              <w:rPr>
                <w:sz w:val="20"/>
                <w:szCs w:val="20"/>
              </w:rPr>
              <w:t>Approved 2015</w:t>
            </w:r>
          </w:p>
        </w:tc>
      </w:tr>
      <w:tr w:rsidR="00816719" w:rsidRPr="00816719" w14:paraId="1C9854AD" w14:textId="77777777" w:rsidTr="00037CB8">
        <w:trPr>
          <w:trHeight w:val="506"/>
        </w:trPr>
        <w:tc>
          <w:tcPr>
            <w:tcW w:w="1158" w:type="dxa"/>
            <w:vMerge w:val="restart"/>
            <w:vAlign w:val="center"/>
            <w:hideMark/>
          </w:tcPr>
          <w:p w14:paraId="1C9854A8" w14:textId="77777777" w:rsidR="00816719" w:rsidRPr="00DA1ABB" w:rsidRDefault="00816719" w:rsidP="00037CB8">
            <w:pPr>
              <w:jc w:val="center"/>
              <w:rPr>
                <w:sz w:val="20"/>
                <w:szCs w:val="20"/>
              </w:rPr>
            </w:pPr>
            <w:r w:rsidRPr="00DA1ABB">
              <w:rPr>
                <w:sz w:val="20"/>
                <w:szCs w:val="20"/>
              </w:rPr>
              <w:t>Canada</w:t>
            </w:r>
          </w:p>
        </w:tc>
        <w:tc>
          <w:tcPr>
            <w:tcW w:w="3685" w:type="dxa"/>
            <w:tcMar>
              <w:top w:w="0" w:type="dxa"/>
              <w:left w:w="108" w:type="dxa"/>
              <w:bottom w:w="0" w:type="dxa"/>
              <w:right w:w="108" w:type="dxa"/>
            </w:tcMar>
            <w:vAlign w:val="center"/>
          </w:tcPr>
          <w:p w14:paraId="1C9854A9" w14:textId="77777777" w:rsidR="00816719" w:rsidRPr="00DA1ABB" w:rsidRDefault="00816719" w:rsidP="00816719">
            <w:pPr>
              <w:rPr>
                <w:sz w:val="20"/>
                <w:szCs w:val="20"/>
              </w:rPr>
            </w:pPr>
            <w:r w:rsidRPr="00DA1ABB">
              <w:rPr>
                <w:sz w:val="20"/>
                <w:szCs w:val="20"/>
              </w:rPr>
              <w:t>Canadian Food Inspection Agency (CFIA)</w:t>
            </w:r>
          </w:p>
        </w:tc>
        <w:tc>
          <w:tcPr>
            <w:tcW w:w="1969" w:type="dxa"/>
            <w:vAlign w:val="center"/>
          </w:tcPr>
          <w:p w14:paraId="1C9854AA" w14:textId="77777777" w:rsidR="00037CB8" w:rsidRPr="00DA1ABB" w:rsidRDefault="00037CB8" w:rsidP="00037CB8">
            <w:pPr>
              <w:jc w:val="center"/>
              <w:rPr>
                <w:sz w:val="20"/>
                <w:szCs w:val="20"/>
              </w:rPr>
            </w:pPr>
            <w:r w:rsidRPr="00DA1ABB">
              <w:rPr>
                <w:sz w:val="20"/>
                <w:szCs w:val="20"/>
              </w:rPr>
              <w:t xml:space="preserve">environment </w:t>
            </w:r>
          </w:p>
          <w:p w14:paraId="1C9854AB" w14:textId="77777777" w:rsidR="00816719" w:rsidRPr="00DA1ABB" w:rsidRDefault="00037CB8" w:rsidP="00037CB8">
            <w:pPr>
              <w:jc w:val="center"/>
              <w:rPr>
                <w:sz w:val="20"/>
                <w:szCs w:val="20"/>
              </w:rPr>
            </w:pPr>
            <w:r w:rsidRPr="00DA1ABB">
              <w:rPr>
                <w:sz w:val="20"/>
                <w:szCs w:val="20"/>
              </w:rPr>
              <w:t>&amp; feed</w:t>
            </w:r>
          </w:p>
        </w:tc>
        <w:tc>
          <w:tcPr>
            <w:tcW w:w="2381" w:type="dxa"/>
            <w:vAlign w:val="center"/>
          </w:tcPr>
          <w:p w14:paraId="1C9854AC" w14:textId="77777777" w:rsidR="00816719" w:rsidRPr="00DA1ABB" w:rsidRDefault="00037CB8" w:rsidP="00037CB8">
            <w:pPr>
              <w:jc w:val="center"/>
              <w:rPr>
                <w:sz w:val="20"/>
                <w:szCs w:val="20"/>
              </w:rPr>
            </w:pPr>
            <w:r w:rsidRPr="00DA1ABB">
              <w:rPr>
                <w:sz w:val="20"/>
                <w:szCs w:val="20"/>
              </w:rPr>
              <w:t>Approved 2016</w:t>
            </w:r>
          </w:p>
        </w:tc>
      </w:tr>
      <w:tr w:rsidR="00816719" w:rsidRPr="00816719" w14:paraId="1C9854B2" w14:textId="77777777" w:rsidTr="00037CB8">
        <w:trPr>
          <w:trHeight w:val="506"/>
        </w:trPr>
        <w:tc>
          <w:tcPr>
            <w:tcW w:w="1158" w:type="dxa"/>
            <w:vMerge/>
            <w:vAlign w:val="center"/>
          </w:tcPr>
          <w:p w14:paraId="1C9854AE" w14:textId="77777777" w:rsidR="00816719" w:rsidRPr="00DA1ABB" w:rsidRDefault="00816719" w:rsidP="00816719">
            <w:pPr>
              <w:rPr>
                <w:sz w:val="20"/>
                <w:szCs w:val="20"/>
              </w:rPr>
            </w:pPr>
          </w:p>
        </w:tc>
        <w:tc>
          <w:tcPr>
            <w:tcW w:w="3685" w:type="dxa"/>
            <w:tcMar>
              <w:top w:w="0" w:type="dxa"/>
              <w:left w:w="108" w:type="dxa"/>
              <w:bottom w:w="0" w:type="dxa"/>
              <w:right w:w="108" w:type="dxa"/>
            </w:tcMar>
            <w:vAlign w:val="center"/>
          </w:tcPr>
          <w:p w14:paraId="1C9854AF" w14:textId="77777777" w:rsidR="00816719" w:rsidRPr="00DA1ABB" w:rsidRDefault="00816719" w:rsidP="00763CC3">
            <w:pPr>
              <w:rPr>
                <w:sz w:val="20"/>
                <w:szCs w:val="20"/>
              </w:rPr>
            </w:pPr>
            <w:r w:rsidRPr="00DA1ABB">
              <w:rPr>
                <w:sz w:val="20"/>
                <w:szCs w:val="20"/>
              </w:rPr>
              <w:t xml:space="preserve">Health Canada </w:t>
            </w:r>
          </w:p>
        </w:tc>
        <w:tc>
          <w:tcPr>
            <w:tcW w:w="1969" w:type="dxa"/>
            <w:vAlign w:val="center"/>
          </w:tcPr>
          <w:p w14:paraId="1C9854B0" w14:textId="77777777" w:rsidR="00816719" w:rsidRPr="00DA1ABB" w:rsidRDefault="00816719" w:rsidP="00037CB8">
            <w:pPr>
              <w:jc w:val="center"/>
              <w:rPr>
                <w:sz w:val="20"/>
                <w:szCs w:val="20"/>
              </w:rPr>
            </w:pPr>
            <w:r w:rsidRPr="00DA1ABB">
              <w:rPr>
                <w:sz w:val="20"/>
                <w:szCs w:val="20"/>
              </w:rPr>
              <w:t>food</w:t>
            </w:r>
          </w:p>
        </w:tc>
        <w:tc>
          <w:tcPr>
            <w:tcW w:w="2381" w:type="dxa"/>
            <w:vAlign w:val="center"/>
          </w:tcPr>
          <w:p w14:paraId="1C9854B1" w14:textId="77777777" w:rsidR="00816719" w:rsidRPr="00DA1ABB" w:rsidRDefault="00037CB8" w:rsidP="00037CB8">
            <w:pPr>
              <w:jc w:val="center"/>
              <w:rPr>
                <w:sz w:val="20"/>
                <w:szCs w:val="20"/>
              </w:rPr>
            </w:pPr>
            <w:r w:rsidRPr="00DA1ABB">
              <w:rPr>
                <w:sz w:val="20"/>
                <w:szCs w:val="20"/>
              </w:rPr>
              <w:t>Approved 2016</w:t>
            </w:r>
          </w:p>
        </w:tc>
      </w:tr>
      <w:tr w:rsidR="00816719" w:rsidRPr="00816719" w14:paraId="1C9854B8" w14:textId="77777777" w:rsidTr="00037CB8">
        <w:trPr>
          <w:trHeight w:val="506"/>
        </w:trPr>
        <w:tc>
          <w:tcPr>
            <w:tcW w:w="1158" w:type="dxa"/>
            <w:vMerge w:val="restart"/>
            <w:shd w:val="clear" w:color="auto" w:fill="EAF1DD" w:themeFill="accent3" w:themeFillTint="33"/>
            <w:tcMar>
              <w:top w:w="0" w:type="dxa"/>
              <w:left w:w="108" w:type="dxa"/>
              <w:bottom w:w="0" w:type="dxa"/>
              <w:right w:w="108" w:type="dxa"/>
            </w:tcMar>
            <w:vAlign w:val="center"/>
            <w:hideMark/>
          </w:tcPr>
          <w:p w14:paraId="1C9854B3" w14:textId="77777777" w:rsidR="00816719" w:rsidRPr="00DA1ABB" w:rsidRDefault="00816719" w:rsidP="00037CB8">
            <w:pPr>
              <w:jc w:val="center"/>
              <w:rPr>
                <w:sz w:val="20"/>
                <w:szCs w:val="20"/>
              </w:rPr>
            </w:pPr>
            <w:r w:rsidRPr="00DA1ABB">
              <w:rPr>
                <w:sz w:val="20"/>
                <w:szCs w:val="20"/>
              </w:rPr>
              <w:t>Japan</w:t>
            </w:r>
          </w:p>
          <w:p w14:paraId="1C9854B4" w14:textId="77777777" w:rsidR="00816719" w:rsidRPr="00DA1ABB" w:rsidRDefault="00816719" w:rsidP="00037CB8">
            <w:pPr>
              <w:jc w:val="center"/>
              <w:rPr>
                <w:sz w:val="20"/>
                <w:szCs w:val="20"/>
              </w:rPr>
            </w:pPr>
          </w:p>
        </w:tc>
        <w:tc>
          <w:tcPr>
            <w:tcW w:w="3685" w:type="dxa"/>
            <w:shd w:val="clear" w:color="auto" w:fill="EAF1DD" w:themeFill="accent3" w:themeFillTint="33"/>
            <w:tcMar>
              <w:top w:w="0" w:type="dxa"/>
              <w:left w:w="108" w:type="dxa"/>
              <w:bottom w:w="0" w:type="dxa"/>
              <w:right w:w="108" w:type="dxa"/>
            </w:tcMar>
            <w:vAlign w:val="center"/>
            <w:hideMark/>
          </w:tcPr>
          <w:p w14:paraId="1C9854B5" w14:textId="77777777" w:rsidR="00816719" w:rsidRPr="00DA1ABB" w:rsidRDefault="00816719" w:rsidP="00816719">
            <w:pPr>
              <w:rPr>
                <w:sz w:val="20"/>
                <w:szCs w:val="20"/>
              </w:rPr>
            </w:pPr>
            <w:r w:rsidRPr="00DA1ABB">
              <w:rPr>
                <w:sz w:val="20"/>
                <w:szCs w:val="20"/>
              </w:rPr>
              <w:t>Ministry of Health, Labour and Welfare (MHLW)</w:t>
            </w:r>
          </w:p>
        </w:tc>
        <w:tc>
          <w:tcPr>
            <w:tcW w:w="1969" w:type="dxa"/>
            <w:shd w:val="clear" w:color="auto" w:fill="EAF1DD" w:themeFill="accent3" w:themeFillTint="33"/>
            <w:vAlign w:val="center"/>
            <w:hideMark/>
          </w:tcPr>
          <w:p w14:paraId="1C9854B6" w14:textId="77777777" w:rsidR="00816719" w:rsidRPr="00DA1ABB" w:rsidRDefault="00816719" w:rsidP="00037CB8">
            <w:pPr>
              <w:jc w:val="center"/>
              <w:rPr>
                <w:sz w:val="20"/>
                <w:szCs w:val="20"/>
              </w:rPr>
            </w:pPr>
            <w:r w:rsidRPr="00DA1ABB">
              <w:rPr>
                <w:sz w:val="20"/>
                <w:szCs w:val="20"/>
              </w:rPr>
              <w:t>food</w:t>
            </w:r>
          </w:p>
        </w:tc>
        <w:tc>
          <w:tcPr>
            <w:tcW w:w="2381" w:type="dxa"/>
            <w:shd w:val="clear" w:color="auto" w:fill="EAF1DD" w:themeFill="accent3" w:themeFillTint="33"/>
            <w:vAlign w:val="center"/>
          </w:tcPr>
          <w:p w14:paraId="1C9854B7" w14:textId="77777777" w:rsidR="00816719" w:rsidRPr="00DA1ABB" w:rsidRDefault="00816719" w:rsidP="00037CB8">
            <w:pPr>
              <w:jc w:val="center"/>
              <w:rPr>
                <w:sz w:val="20"/>
                <w:szCs w:val="20"/>
              </w:rPr>
            </w:pPr>
            <w:r w:rsidRPr="00DA1ABB">
              <w:rPr>
                <w:sz w:val="20"/>
                <w:szCs w:val="20"/>
              </w:rPr>
              <w:t>Under assessment</w:t>
            </w:r>
          </w:p>
        </w:tc>
      </w:tr>
      <w:tr w:rsidR="00816719" w:rsidRPr="00816719" w14:paraId="1C9854BD" w14:textId="77777777" w:rsidTr="00037CB8">
        <w:trPr>
          <w:trHeight w:val="506"/>
        </w:trPr>
        <w:tc>
          <w:tcPr>
            <w:tcW w:w="1158" w:type="dxa"/>
            <w:vMerge/>
            <w:shd w:val="clear" w:color="auto" w:fill="EAF1DD" w:themeFill="accent3" w:themeFillTint="33"/>
            <w:tcMar>
              <w:top w:w="0" w:type="dxa"/>
              <w:left w:w="108" w:type="dxa"/>
              <w:bottom w:w="0" w:type="dxa"/>
              <w:right w:w="108" w:type="dxa"/>
            </w:tcMar>
            <w:vAlign w:val="center"/>
          </w:tcPr>
          <w:p w14:paraId="1C9854B9" w14:textId="77777777" w:rsidR="00816719" w:rsidRPr="00DA1ABB" w:rsidRDefault="00816719" w:rsidP="00037CB8">
            <w:pPr>
              <w:jc w:val="center"/>
              <w:rPr>
                <w:sz w:val="20"/>
                <w:szCs w:val="20"/>
              </w:rPr>
            </w:pPr>
          </w:p>
        </w:tc>
        <w:tc>
          <w:tcPr>
            <w:tcW w:w="3685" w:type="dxa"/>
            <w:shd w:val="clear" w:color="auto" w:fill="EAF1DD" w:themeFill="accent3" w:themeFillTint="33"/>
            <w:tcMar>
              <w:top w:w="0" w:type="dxa"/>
              <w:left w:w="108" w:type="dxa"/>
              <w:bottom w:w="0" w:type="dxa"/>
              <w:right w:w="108" w:type="dxa"/>
            </w:tcMar>
            <w:vAlign w:val="center"/>
          </w:tcPr>
          <w:p w14:paraId="1C9854BA" w14:textId="77777777" w:rsidR="00816719" w:rsidRPr="00DA1ABB" w:rsidRDefault="00816719" w:rsidP="00816719">
            <w:pPr>
              <w:rPr>
                <w:sz w:val="20"/>
                <w:szCs w:val="20"/>
              </w:rPr>
            </w:pPr>
            <w:r w:rsidRPr="00DA1ABB">
              <w:rPr>
                <w:sz w:val="20"/>
                <w:szCs w:val="20"/>
              </w:rPr>
              <w:t>Ministry of Agriculture, Forestry &amp; Fisheries (MAFF)</w:t>
            </w:r>
          </w:p>
        </w:tc>
        <w:tc>
          <w:tcPr>
            <w:tcW w:w="1969" w:type="dxa"/>
            <w:shd w:val="clear" w:color="auto" w:fill="EAF1DD" w:themeFill="accent3" w:themeFillTint="33"/>
            <w:vAlign w:val="center"/>
          </w:tcPr>
          <w:p w14:paraId="1C9854BB" w14:textId="77777777" w:rsidR="00816719" w:rsidRPr="00DA1ABB" w:rsidRDefault="00816719" w:rsidP="00037CB8">
            <w:pPr>
              <w:jc w:val="center"/>
              <w:rPr>
                <w:sz w:val="20"/>
                <w:szCs w:val="20"/>
              </w:rPr>
            </w:pPr>
            <w:r w:rsidRPr="00DA1ABB">
              <w:rPr>
                <w:sz w:val="20"/>
                <w:szCs w:val="20"/>
              </w:rPr>
              <w:t>feed</w:t>
            </w:r>
          </w:p>
        </w:tc>
        <w:tc>
          <w:tcPr>
            <w:tcW w:w="2381" w:type="dxa"/>
            <w:shd w:val="clear" w:color="auto" w:fill="EAF1DD" w:themeFill="accent3" w:themeFillTint="33"/>
            <w:vAlign w:val="center"/>
          </w:tcPr>
          <w:p w14:paraId="1C9854BC" w14:textId="77777777" w:rsidR="00816719" w:rsidRPr="00DA1ABB" w:rsidRDefault="00816719" w:rsidP="00037CB8">
            <w:pPr>
              <w:jc w:val="center"/>
              <w:rPr>
                <w:sz w:val="20"/>
                <w:szCs w:val="20"/>
              </w:rPr>
            </w:pPr>
            <w:r w:rsidRPr="00DA1ABB">
              <w:rPr>
                <w:sz w:val="20"/>
                <w:szCs w:val="20"/>
              </w:rPr>
              <w:t>Under assessment</w:t>
            </w:r>
          </w:p>
        </w:tc>
      </w:tr>
      <w:tr w:rsidR="00816719" w:rsidRPr="00816719" w14:paraId="1C9854C2" w14:textId="77777777" w:rsidTr="00037CB8">
        <w:trPr>
          <w:trHeight w:val="506"/>
        </w:trPr>
        <w:tc>
          <w:tcPr>
            <w:tcW w:w="1158" w:type="dxa"/>
            <w:shd w:val="clear" w:color="auto" w:fill="auto"/>
            <w:tcMar>
              <w:top w:w="0" w:type="dxa"/>
              <w:left w:w="108" w:type="dxa"/>
              <w:bottom w:w="0" w:type="dxa"/>
              <w:right w:w="108" w:type="dxa"/>
            </w:tcMar>
            <w:vAlign w:val="center"/>
          </w:tcPr>
          <w:p w14:paraId="1C9854BE" w14:textId="77777777" w:rsidR="00816719" w:rsidRPr="00DA1ABB" w:rsidRDefault="00816719" w:rsidP="00037CB8">
            <w:pPr>
              <w:jc w:val="center"/>
              <w:rPr>
                <w:sz w:val="20"/>
                <w:szCs w:val="20"/>
              </w:rPr>
            </w:pPr>
            <w:r w:rsidRPr="00DA1ABB">
              <w:rPr>
                <w:sz w:val="20"/>
                <w:szCs w:val="20"/>
              </w:rPr>
              <w:t>Korea</w:t>
            </w:r>
          </w:p>
        </w:tc>
        <w:tc>
          <w:tcPr>
            <w:tcW w:w="3685" w:type="dxa"/>
            <w:shd w:val="clear" w:color="auto" w:fill="auto"/>
            <w:tcMar>
              <w:top w:w="0" w:type="dxa"/>
              <w:left w:w="108" w:type="dxa"/>
              <w:bottom w:w="0" w:type="dxa"/>
              <w:right w:w="108" w:type="dxa"/>
            </w:tcMar>
            <w:vAlign w:val="center"/>
          </w:tcPr>
          <w:p w14:paraId="1C9854BF" w14:textId="77777777" w:rsidR="00816719" w:rsidRPr="00DA1ABB" w:rsidRDefault="00816719" w:rsidP="00816719">
            <w:pPr>
              <w:rPr>
                <w:sz w:val="20"/>
                <w:szCs w:val="20"/>
              </w:rPr>
            </w:pPr>
            <w:r w:rsidRPr="00DA1ABB">
              <w:rPr>
                <w:sz w:val="20"/>
                <w:szCs w:val="20"/>
              </w:rPr>
              <w:t xml:space="preserve">Ministry of Food and Drug Safety </w:t>
            </w:r>
          </w:p>
        </w:tc>
        <w:tc>
          <w:tcPr>
            <w:tcW w:w="1969" w:type="dxa"/>
            <w:shd w:val="clear" w:color="auto" w:fill="auto"/>
            <w:vAlign w:val="center"/>
          </w:tcPr>
          <w:p w14:paraId="1C9854C0" w14:textId="77777777" w:rsidR="00816719" w:rsidRPr="00DA1ABB" w:rsidRDefault="00816719" w:rsidP="00037CB8">
            <w:pPr>
              <w:jc w:val="center"/>
              <w:rPr>
                <w:sz w:val="20"/>
                <w:szCs w:val="20"/>
              </w:rPr>
            </w:pPr>
            <w:r w:rsidRPr="00DA1ABB">
              <w:rPr>
                <w:sz w:val="20"/>
                <w:szCs w:val="20"/>
              </w:rPr>
              <w:t>food</w:t>
            </w:r>
            <w:r w:rsidR="00037CB8" w:rsidRPr="00DA1ABB">
              <w:rPr>
                <w:sz w:val="20"/>
                <w:szCs w:val="20"/>
              </w:rPr>
              <w:t xml:space="preserve"> &amp;</w:t>
            </w:r>
            <w:r w:rsidRPr="00DA1ABB">
              <w:rPr>
                <w:sz w:val="20"/>
                <w:szCs w:val="20"/>
              </w:rPr>
              <w:t xml:space="preserve"> feed</w:t>
            </w:r>
          </w:p>
        </w:tc>
        <w:tc>
          <w:tcPr>
            <w:tcW w:w="2381" w:type="dxa"/>
            <w:vAlign w:val="center"/>
          </w:tcPr>
          <w:p w14:paraId="1C9854C1" w14:textId="77777777" w:rsidR="00816719" w:rsidRPr="00DA1ABB" w:rsidRDefault="00816719" w:rsidP="00037CB8">
            <w:pPr>
              <w:jc w:val="center"/>
              <w:rPr>
                <w:sz w:val="20"/>
                <w:szCs w:val="20"/>
              </w:rPr>
            </w:pPr>
            <w:r w:rsidRPr="00DA1ABB">
              <w:rPr>
                <w:sz w:val="20"/>
                <w:szCs w:val="20"/>
              </w:rPr>
              <w:t>Under assessment</w:t>
            </w:r>
          </w:p>
        </w:tc>
      </w:tr>
      <w:tr w:rsidR="00816719" w:rsidRPr="00816719" w14:paraId="1C9854C7" w14:textId="77777777" w:rsidTr="00037CB8">
        <w:trPr>
          <w:trHeight w:val="506"/>
        </w:trPr>
        <w:tc>
          <w:tcPr>
            <w:tcW w:w="1158" w:type="dxa"/>
            <w:shd w:val="clear" w:color="auto" w:fill="EAF1DD" w:themeFill="accent3" w:themeFillTint="33"/>
            <w:tcMar>
              <w:top w:w="0" w:type="dxa"/>
              <w:left w:w="108" w:type="dxa"/>
              <w:bottom w:w="0" w:type="dxa"/>
              <w:right w:w="108" w:type="dxa"/>
            </w:tcMar>
            <w:vAlign w:val="center"/>
          </w:tcPr>
          <w:p w14:paraId="1C9854C3" w14:textId="77777777" w:rsidR="00816719" w:rsidRPr="00DA1ABB" w:rsidRDefault="00D866FE" w:rsidP="00037CB8">
            <w:pPr>
              <w:jc w:val="center"/>
              <w:rPr>
                <w:sz w:val="20"/>
                <w:szCs w:val="20"/>
              </w:rPr>
            </w:pPr>
            <w:r w:rsidRPr="00DA1ABB">
              <w:rPr>
                <w:sz w:val="20"/>
                <w:szCs w:val="20"/>
              </w:rPr>
              <w:t>Mexico</w:t>
            </w:r>
          </w:p>
        </w:tc>
        <w:tc>
          <w:tcPr>
            <w:tcW w:w="3685" w:type="dxa"/>
            <w:shd w:val="clear" w:color="auto" w:fill="EAF1DD" w:themeFill="accent3" w:themeFillTint="33"/>
            <w:tcMar>
              <w:top w:w="0" w:type="dxa"/>
              <w:left w:w="108" w:type="dxa"/>
              <w:bottom w:w="0" w:type="dxa"/>
              <w:right w:w="108" w:type="dxa"/>
            </w:tcMar>
            <w:vAlign w:val="center"/>
          </w:tcPr>
          <w:p w14:paraId="1C9854C4" w14:textId="77777777" w:rsidR="00816719" w:rsidRPr="00DA1ABB" w:rsidRDefault="00037CB8" w:rsidP="00816719">
            <w:pPr>
              <w:rPr>
                <w:sz w:val="20"/>
                <w:szCs w:val="20"/>
              </w:rPr>
            </w:pPr>
            <w:r w:rsidRPr="00DA1ABB">
              <w:rPr>
                <w:sz w:val="20"/>
                <w:szCs w:val="20"/>
              </w:rPr>
              <w:t>Department of Health (COFEPRIS)</w:t>
            </w:r>
          </w:p>
        </w:tc>
        <w:tc>
          <w:tcPr>
            <w:tcW w:w="1969" w:type="dxa"/>
            <w:shd w:val="clear" w:color="auto" w:fill="EAF1DD" w:themeFill="accent3" w:themeFillTint="33"/>
            <w:vAlign w:val="center"/>
          </w:tcPr>
          <w:p w14:paraId="1C9854C5" w14:textId="77777777" w:rsidR="00816719" w:rsidRPr="00DA1ABB" w:rsidRDefault="00037CB8" w:rsidP="00037CB8">
            <w:pPr>
              <w:jc w:val="center"/>
              <w:rPr>
                <w:sz w:val="20"/>
                <w:szCs w:val="20"/>
              </w:rPr>
            </w:pPr>
            <w:r w:rsidRPr="00DA1ABB">
              <w:rPr>
                <w:sz w:val="20"/>
                <w:szCs w:val="20"/>
              </w:rPr>
              <w:t>f</w:t>
            </w:r>
            <w:r w:rsidR="00816719" w:rsidRPr="00DA1ABB">
              <w:rPr>
                <w:sz w:val="20"/>
                <w:szCs w:val="20"/>
              </w:rPr>
              <w:t>ood</w:t>
            </w:r>
            <w:r w:rsidRPr="00DA1ABB">
              <w:rPr>
                <w:sz w:val="20"/>
                <w:szCs w:val="20"/>
              </w:rPr>
              <w:t xml:space="preserve"> &amp; </w:t>
            </w:r>
            <w:r w:rsidR="00816719" w:rsidRPr="00DA1ABB">
              <w:rPr>
                <w:sz w:val="20"/>
                <w:szCs w:val="20"/>
              </w:rPr>
              <w:t>feed</w:t>
            </w:r>
          </w:p>
        </w:tc>
        <w:tc>
          <w:tcPr>
            <w:tcW w:w="2381" w:type="dxa"/>
            <w:shd w:val="clear" w:color="auto" w:fill="EAF1DD" w:themeFill="accent3" w:themeFillTint="33"/>
            <w:vAlign w:val="center"/>
          </w:tcPr>
          <w:p w14:paraId="1C9854C6" w14:textId="77777777" w:rsidR="00816719" w:rsidRPr="00DA1ABB" w:rsidRDefault="00816719" w:rsidP="00037CB8">
            <w:pPr>
              <w:jc w:val="center"/>
              <w:rPr>
                <w:sz w:val="20"/>
                <w:szCs w:val="20"/>
              </w:rPr>
            </w:pPr>
            <w:r w:rsidRPr="00DA1ABB">
              <w:rPr>
                <w:sz w:val="20"/>
                <w:szCs w:val="20"/>
              </w:rPr>
              <w:t>Under assessment</w:t>
            </w:r>
          </w:p>
        </w:tc>
      </w:tr>
    </w:tbl>
    <w:p w14:paraId="17748853" w14:textId="77777777" w:rsidR="001E0CD5" w:rsidRPr="001E0CD5" w:rsidRDefault="001E0CD5" w:rsidP="001E0CD5">
      <w:pPr>
        <w:pStyle w:val="Heading3"/>
        <w:spacing w:before="0"/>
        <w:rPr>
          <w:rFonts w:eastAsia="Batang"/>
          <w:b w:val="0"/>
          <w:sz w:val="20"/>
          <w:szCs w:val="20"/>
        </w:rPr>
      </w:pPr>
      <w:bookmarkStart w:id="62" w:name="_Toc454376573"/>
      <w:bookmarkStart w:id="63" w:name="_Toc300761897"/>
      <w:bookmarkStart w:id="64" w:name="_Toc300933440"/>
      <w:r w:rsidRPr="001E0CD5">
        <w:rPr>
          <w:rFonts w:eastAsia="Batang"/>
          <w:b w:val="0"/>
          <w:sz w:val="20"/>
          <w:szCs w:val="20"/>
          <w:vertAlign w:val="superscript"/>
        </w:rPr>
        <w:t>1</w:t>
      </w:r>
      <w:r w:rsidRPr="001E0CD5">
        <w:rPr>
          <w:rFonts w:eastAsia="Batang"/>
          <w:b w:val="0"/>
          <w:sz w:val="20"/>
          <w:szCs w:val="20"/>
        </w:rPr>
        <w:t>an authorisation for ‘environment’ indicates the line can be grown commercially in that country.</w:t>
      </w:r>
    </w:p>
    <w:p w14:paraId="1C9854C8" w14:textId="6C9EA0AE" w:rsidR="00022DBC" w:rsidRPr="00DA1ABB" w:rsidRDefault="00BA4F6E" w:rsidP="00176897">
      <w:pPr>
        <w:pStyle w:val="Heading3"/>
      </w:pPr>
      <w:r w:rsidRPr="00DA1ABB">
        <w:t>2.4</w:t>
      </w:r>
      <w:r w:rsidR="00BE3818" w:rsidRPr="00DA1ABB">
        <w:t>.2</w:t>
      </w:r>
      <w:r w:rsidR="00022DBC" w:rsidRPr="00DA1ABB">
        <w:tab/>
      </w:r>
      <w:r w:rsidR="00BE3818" w:rsidRPr="00DA1ABB">
        <w:t>Subsection 18(1)</w:t>
      </w:r>
      <w:bookmarkEnd w:id="62"/>
      <w:r w:rsidR="00BE3818" w:rsidRPr="00DA1ABB">
        <w:t xml:space="preserve"> </w:t>
      </w:r>
      <w:bookmarkEnd w:id="63"/>
      <w:bookmarkEnd w:id="64"/>
    </w:p>
    <w:p w14:paraId="1C9854C9" w14:textId="77777777" w:rsidR="00022DBC" w:rsidRPr="00DA1ABB" w:rsidRDefault="00022DBC" w:rsidP="00176897">
      <w:pPr>
        <w:rPr>
          <w:color w:val="000000" w:themeColor="text1"/>
        </w:rPr>
      </w:pPr>
      <w:r w:rsidRPr="00DA1ABB">
        <w:rPr>
          <w:rFonts w:cs="Arial"/>
          <w:color w:val="000000" w:themeColor="text1"/>
        </w:rPr>
        <w:t xml:space="preserve">FSANZ has also </w:t>
      </w:r>
      <w:r w:rsidRPr="00DA1ABB">
        <w:rPr>
          <w:color w:val="000000" w:themeColor="text1"/>
        </w:rPr>
        <w:t>considered the three objectives in subsection 18(1) of the FSANZ Act during the assessment.</w:t>
      </w:r>
    </w:p>
    <w:p w14:paraId="1C9854CA" w14:textId="77777777" w:rsidR="00022DBC" w:rsidRPr="00DA1ABB" w:rsidRDefault="00BA4F6E" w:rsidP="00022DBC">
      <w:pPr>
        <w:pStyle w:val="Heading4"/>
        <w:rPr>
          <w:color w:val="000000" w:themeColor="text1"/>
        </w:rPr>
      </w:pPr>
      <w:bookmarkStart w:id="65" w:name="_Toc297029117"/>
      <w:bookmarkStart w:id="66" w:name="_Toc300761898"/>
      <w:bookmarkStart w:id="67" w:name="_Toc300933441"/>
      <w:r w:rsidRPr="00DA1ABB">
        <w:rPr>
          <w:color w:val="000000" w:themeColor="text1"/>
        </w:rPr>
        <w:t>2.4</w:t>
      </w:r>
      <w:r w:rsidR="00BE3818" w:rsidRPr="00DA1ABB">
        <w:rPr>
          <w:color w:val="000000" w:themeColor="text1"/>
        </w:rPr>
        <w:t>.2</w:t>
      </w:r>
      <w:r w:rsidR="00022DBC" w:rsidRPr="00DA1ABB">
        <w:rPr>
          <w:color w:val="000000" w:themeColor="text1"/>
        </w:rPr>
        <w:t>.1</w:t>
      </w:r>
      <w:r w:rsidR="00022DBC" w:rsidRPr="00DA1ABB">
        <w:rPr>
          <w:color w:val="000000" w:themeColor="text1"/>
        </w:rPr>
        <w:tab/>
        <w:t>Protection of public health and safety</w:t>
      </w:r>
      <w:bookmarkEnd w:id="65"/>
      <w:bookmarkEnd w:id="66"/>
      <w:bookmarkEnd w:id="67"/>
    </w:p>
    <w:p w14:paraId="1C9854CB" w14:textId="77777777" w:rsidR="00BA4F6E" w:rsidRPr="00DA1ABB" w:rsidRDefault="00BA4F6E" w:rsidP="00BA4F6E">
      <w:pPr>
        <w:rPr>
          <w:color w:val="000000" w:themeColor="text1"/>
        </w:rPr>
      </w:pPr>
      <w:r w:rsidRPr="00DA1ABB">
        <w:rPr>
          <w:color w:val="000000" w:themeColor="text1"/>
        </w:rPr>
        <w:t xml:space="preserve">Food derived from E12 has been assessed according to the safety assessment guidelines prepared by FSANZ </w:t>
      </w:r>
      <w:r w:rsidRPr="00DA1ABB">
        <w:rPr>
          <w:color w:val="000000" w:themeColor="text1"/>
        </w:rPr>
        <w:fldChar w:fldCharType="begin"/>
      </w:r>
      <w:r w:rsidR="001F583E" w:rsidRPr="00DA1ABB">
        <w:rPr>
          <w:color w:val="000000" w:themeColor="text1"/>
        </w:rPr>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foods.pdf&lt;/u&gt;&lt;/Web_URL_Link2&gt;&lt;ZZ_WorkformID&gt;24&lt;/ZZ_WorkformID&gt;&lt;/MDL&gt;&lt;/Cite&gt;&lt;/Refman&gt;</w:instrText>
      </w:r>
      <w:r w:rsidRPr="00DA1ABB">
        <w:rPr>
          <w:color w:val="000000" w:themeColor="text1"/>
        </w:rPr>
        <w:fldChar w:fldCharType="separate"/>
      </w:r>
      <w:r w:rsidRPr="00DA1ABB">
        <w:rPr>
          <w:noProof/>
          <w:color w:val="000000" w:themeColor="text1"/>
        </w:rPr>
        <w:t>(2007)</w:t>
      </w:r>
      <w:r w:rsidRPr="00DA1ABB">
        <w:rPr>
          <w:color w:val="000000" w:themeColor="text1"/>
        </w:rPr>
        <w:fldChar w:fldCharType="end"/>
      </w:r>
      <w:r w:rsidRPr="00DA1ABB">
        <w:rPr>
          <w:color w:val="000000" w:themeColor="text1"/>
        </w:rPr>
        <w:t>. No public health and safety concerns were identified in this assessment. Based on the available evidence, including detailed studies provided by the Applicant, food derived from E12 is considered as safe and wholesome as food derived from other commercial potato cultivars.</w:t>
      </w:r>
    </w:p>
    <w:p w14:paraId="45E9A1A6" w14:textId="77777777" w:rsidR="007D7B06" w:rsidRDefault="007D7B06" w:rsidP="00022DBC">
      <w:pPr>
        <w:pStyle w:val="Heading4"/>
        <w:rPr>
          <w:color w:val="000000" w:themeColor="text1"/>
          <w:lang w:eastAsia="en-AU"/>
        </w:rPr>
      </w:pPr>
      <w:bookmarkStart w:id="68" w:name="_Toc300761899"/>
      <w:bookmarkStart w:id="69" w:name="_Toc300933442"/>
      <w:r>
        <w:rPr>
          <w:color w:val="000000" w:themeColor="text1"/>
          <w:lang w:eastAsia="en-AU"/>
        </w:rPr>
        <w:br w:type="page"/>
      </w:r>
    </w:p>
    <w:p w14:paraId="1C9854CC" w14:textId="48141800" w:rsidR="00022DBC" w:rsidRPr="00DA1ABB" w:rsidRDefault="00BA4F6E" w:rsidP="00022DBC">
      <w:pPr>
        <w:pStyle w:val="Heading4"/>
        <w:rPr>
          <w:color w:val="000000" w:themeColor="text1"/>
          <w:lang w:eastAsia="en-AU"/>
        </w:rPr>
      </w:pPr>
      <w:r w:rsidRPr="00DA1ABB">
        <w:rPr>
          <w:color w:val="000000" w:themeColor="text1"/>
          <w:lang w:eastAsia="en-AU"/>
        </w:rPr>
        <w:lastRenderedPageBreak/>
        <w:t>2.4</w:t>
      </w:r>
      <w:r w:rsidR="00BE3818" w:rsidRPr="00DA1ABB">
        <w:rPr>
          <w:color w:val="000000" w:themeColor="text1"/>
          <w:lang w:eastAsia="en-AU"/>
        </w:rPr>
        <w:t>.2</w:t>
      </w:r>
      <w:r w:rsidR="00022DBC" w:rsidRPr="00DA1ABB">
        <w:rPr>
          <w:color w:val="000000" w:themeColor="text1"/>
          <w:lang w:eastAsia="en-AU"/>
        </w:rPr>
        <w:t>.2</w:t>
      </w:r>
      <w:r w:rsidR="00022DBC" w:rsidRPr="00DA1ABB">
        <w:rPr>
          <w:color w:val="000000" w:themeColor="text1"/>
          <w:lang w:eastAsia="en-AU"/>
        </w:rPr>
        <w:tab/>
        <w:t>The provision of adequate information relating to food to enable consumers to make informed choices</w:t>
      </w:r>
      <w:bookmarkEnd w:id="68"/>
      <w:bookmarkEnd w:id="69"/>
    </w:p>
    <w:p w14:paraId="1C9854CD" w14:textId="73DE812A" w:rsidR="00BA4F6E" w:rsidRPr="00DA1ABB" w:rsidRDefault="00BA4F6E" w:rsidP="00BA4F6E">
      <w:pPr>
        <w:rPr>
          <w:b/>
          <w:bCs/>
          <w:color w:val="000000" w:themeColor="text1"/>
        </w:rPr>
      </w:pPr>
      <w:r w:rsidRPr="00DA1ABB">
        <w:rPr>
          <w:color w:val="000000" w:themeColor="text1"/>
        </w:rPr>
        <w:t>In accordance with existing labelling provisions to enable informed consumer choice, food derived from E12 would have to be labelled as ‘genetically modified’ if it con</w:t>
      </w:r>
      <w:r w:rsidR="00DA1ABB" w:rsidRPr="00DA1ABB">
        <w:rPr>
          <w:color w:val="000000" w:themeColor="text1"/>
        </w:rPr>
        <w:t>tains novel DNA</w:t>
      </w:r>
      <w:r w:rsidRPr="00DA1ABB">
        <w:rPr>
          <w:color w:val="000000" w:themeColor="text1"/>
        </w:rPr>
        <w:t xml:space="preserve"> </w:t>
      </w:r>
      <w:r w:rsidR="007D7B06">
        <w:rPr>
          <w:color w:val="000000" w:themeColor="text1"/>
        </w:rPr>
        <w:t>(see s</w:t>
      </w:r>
      <w:r w:rsidRPr="00DA1ABB">
        <w:rPr>
          <w:color w:val="000000" w:themeColor="text1"/>
        </w:rPr>
        <w:t xml:space="preserve">ection 2.2.1). </w:t>
      </w:r>
    </w:p>
    <w:p w14:paraId="1C9854CE" w14:textId="77777777" w:rsidR="00022DBC" w:rsidRPr="00DA1ABB" w:rsidRDefault="00BA4F6E" w:rsidP="00022DBC">
      <w:pPr>
        <w:pStyle w:val="Heading4"/>
        <w:rPr>
          <w:color w:val="000000" w:themeColor="text1"/>
          <w:lang w:eastAsia="en-AU"/>
        </w:rPr>
      </w:pPr>
      <w:bookmarkStart w:id="70" w:name="_Toc300761900"/>
      <w:bookmarkStart w:id="71" w:name="_Toc300933443"/>
      <w:r w:rsidRPr="00DA1ABB">
        <w:rPr>
          <w:color w:val="000000" w:themeColor="text1"/>
          <w:lang w:eastAsia="en-AU"/>
        </w:rPr>
        <w:t>2.4</w:t>
      </w:r>
      <w:r w:rsidR="00BE3818" w:rsidRPr="00DA1ABB">
        <w:rPr>
          <w:color w:val="000000" w:themeColor="text1"/>
          <w:lang w:eastAsia="en-AU"/>
        </w:rPr>
        <w:t>.2</w:t>
      </w:r>
      <w:r w:rsidR="00022DBC" w:rsidRPr="00DA1ABB">
        <w:rPr>
          <w:color w:val="000000" w:themeColor="text1"/>
          <w:lang w:eastAsia="en-AU"/>
        </w:rPr>
        <w:t>.3</w:t>
      </w:r>
      <w:r w:rsidR="00022DBC" w:rsidRPr="00DA1ABB">
        <w:rPr>
          <w:color w:val="000000" w:themeColor="text1"/>
          <w:lang w:eastAsia="en-AU"/>
        </w:rPr>
        <w:tab/>
        <w:t>The prevention of misleading or deceptive conduct</w:t>
      </w:r>
      <w:bookmarkEnd w:id="70"/>
      <w:bookmarkEnd w:id="71"/>
    </w:p>
    <w:p w14:paraId="1C9854CF" w14:textId="77777777" w:rsidR="00BA4F6E" w:rsidRPr="00DA1ABB" w:rsidRDefault="00BA4F6E" w:rsidP="00BA4F6E">
      <w:pPr>
        <w:rPr>
          <w:color w:val="000000" w:themeColor="text1"/>
        </w:rPr>
      </w:pPr>
      <w:r w:rsidRPr="00DA1ABB">
        <w:rPr>
          <w:color w:val="000000" w:themeColor="text1"/>
        </w:rPr>
        <w:t xml:space="preserve">The </w:t>
      </w:r>
      <w:r w:rsidR="007210AB" w:rsidRPr="00DA1ABB">
        <w:rPr>
          <w:color w:val="000000" w:themeColor="text1"/>
        </w:rPr>
        <w:t xml:space="preserve">provision of </w:t>
      </w:r>
      <w:r w:rsidRPr="00DA1ABB">
        <w:rPr>
          <w:color w:val="000000" w:themeColor="text1"/>
        </w:rPr>
        <w:t>detection methodology</w:t>
      </w:r>
      <w:r w:rsidR="007210AB" w:rsidRPr="00DA1ABB">
        <w:rPr>
          <w:color w:val="000000" w:themeColor="text1"/>
        </w:rPr>
        <w:t xml:space="preserve"> by the Applicant</w:t>
      </w:r>
      <w:r w:rsidRPr="00DA1ABB">
        <w:rPr>
          <w:color w:val="000000" w:themeColor="text1"/>
        </w:rPr>
        <w:t xml:space="preserve"> (</w:t>
      </w:r>
      <w:r w:rsidR="007210AB" w:rsidRPr="00DA1ABB">
        <w:rPr>
          <w:color w:val="000000" w:themeColor="text1"/>
        </w:rPr>
        <w:t xml:space="preserve">see Section 2.2.2) </w:t>
      </w:r>
      <w:r w:rsidRPr="00DA1ABB">
        <w:rPr>
          <w:color w:val="000000" w:themeColor="text1"/>
        </w:rPr>
        <w:t>address</w:t>
      </w:r>
      <w:r w:rsidR="007210AB" w:rsidRPr="00DA1ABB">
        <w:rPr>
          <w:color w:val="000000" w:themeColor="text1"/>
        </w:rPr>
        <w:t>es</w:t>
      </w:r>
      <w:r w:rsidRPr="00DA1ABB">
        <w:rPr>
          <w:color w:val="000000" w:themeColor="text1"/>
        </w:rPr>
        <w:t xml:space="preserve"> this objective.</w:t>
      </w:r>
    </w:p>
    <w:p w14:paraId="1C9854D0" w14:textId="10259F5F" w:rsidR="00022DBC" w:rsidRPr="00DA1ABB" w:rsidRDefault="000630D7" w:rsidP="00B51E03">
      <w:pPr>
        <w:pStyle w:val="Heading3"/>
      </w:pPr>
      <w:bookmarkStart w:id="72" w:name="_Toc300761901"/>
      <w:bookmarkStart w:id="73" w:name="_Toc300933444"/>
      <w:bookmarkStart w:id="74" w:name="_Toc454376574"/>
      <w:r w:rsidRPr="00DA1ABB">
        <w:t>2.4</w:t>
      </w:r>
      <w:r w:rsidR="00B51E03" w:rsidRPr="00DA1ABB">
        <w:t>.3</w:t>
      </w:r>
      <w:r w:rsidR="00022DBC" w:rsidRPr="00DA1ABB">
        <w:tab/>
        <w:t xml:space="preserve">Subsection 18(2) </w:t>
      </w:r>
      <w:bookmarkEnd w:id="72"/>
      <w:bookmarkEnd w:id="73"/>
      <w:r w:rsidR="00022DBC" w:rsidRPr="00DA1ABB">
        <w:t>considerations</w:t>
      </w:r>
      <w:bookmarkEnd w:id="74"/>
    </w:p>
    <w:p w14:paraId="1C9854D1" w14:textId="77777777" w:rsidR="00022DBC" w:rsidRPr="00DA1ABB" w:rsidRDefault="00022DBC" w:rsidP="00022DBC">
      <w:pPr>
        <w:rPr>
          <w:rFonts w:cs="Arial"/>
          <w:color w:val="000000" w:themeColor="text1"/>
        </w:rPr>
      </w:pPr>
      <w:r w:rsidRPr="00DA1ABB">
        <w:rPr>
          <w:rFonts w:cs="Arial"/>
          <w:color w:val="000000" w:themeColor="text1"/>
        </w:rPr>
        <w:t>FSANZ has also had regard to:</w:t>
      </w:r>
    </w:p>
    <w:p w14:paraId="1C9854D2" w14:textId="77777777" w:rsidR="00022DBC" w:rsidRPr="00DA1ABB" w:rsidRDefault="00022DBC" w:rsidP="00022DBC">
      <w:pPr>
        <w:rPr>
          <w:rFonts w:cs="Arial"/>
          <w:color w:val="000000" w:themeColor="text1"/>
        </w:rPr>
      </w:pPr>
    </w:p>
    <w:p w14:paraId="1C9854D3" w14:textId="77777777" w:rsidR="00022DBC" w:rsidRPr="007D7B06" w:rsidRDefault="00022DBC" w:rsidP="007D7B06">
      <w:pPr>
        <w:pStyle w:val="FSBullet1"/>
        <w:rPr>
          <w:b/>
        </w:rPr>
      </w:pPr>
      <w:r w:rsidRPr="007D7B06">
        <w:rPr>
          <w:b/>
        </w:rPr>
        <w:t>the need for standards to be based on risk analysis using the best available scientific evidence</w:t>
      </w:r>
    </w:p>
    <w:p w14:paraId="1C9854D4" w14:textId="77777777" w:rsidR="008828D9" w:rsidRPr="00DA1ABB" w:rsidRDefault="008828D9" w:rsidP="008828D9">
      <w:pPr>
        <w:rPr>
          <w:color w:val="000000" w:themeColor="text1"/>
          <w:lang w:bidi="ar-SA"/>
        </w:rPr>
      </w:pPr>
    </w:p>
    <w:p w14:paraId="1C9854D5" w14:textId="77777777" w:rsidR="007210AB" w:rsidRPr="00DA1ABB" w:rsidRDefault="007210AB" w:rsidP="007210AB">
      <w:pPr>
        <w:rPr>
          <w:color w:val="000000" w:themeColor="text1"/>
        </w:rPr>
      </w:pPr>
      <w:r w:rsidRPr="00DA1ABB">
        <w:rPr>
          <w:color w:val="000000" w:themeColor="text1"/>
        </w:rPr>
        <w:t xml:space="preserve">FSANZ’s approach to the safety assessment of all GM foods applies concepts and principles outlined in the Codex Principles for the Risk Analysis of Foods derived from Biotechnology </w:t>
      </w:r>
      <w:r w:rsidRPr="00DA1ABB">
        <w:rPr>
          <w:color w:val="000000" w:themeColor="text1"/>
        </w:rPr>
        <w:fldChar w:fldCharType="begin"/>
      </w:r>
      <w:r w:rsidR="001F583E" w:rsidRPr="00DA1ABB">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biotechnology&lt;/Title_Primary&gt;&lt;Authors_Primary&gt;Codex&lt;/Authors_Primary&gt;&lt;Date_Primary&gt;2004&lt;/Date_Primary&gt;&lt;Keywords&gt;analysis&lt;/Keywords&gt;&lt;Keywords&gt;Biotechnology&lt;/Keywords&gt;&lt;Keywords&gt;regulation&lt;/Keywords&gt;&lt;Reprint&gt;In File&lt;/Reprint&gt;&lt;Volume&gt;CAC/GL 44-2003&lt;/Volume&gt;&lt;Pub_Place&gt;Rome&lt;/Pub_Place&gt;&lt;Publisher&gt;Codex Alimentarius Commission&lt;/Publisher&gt;&lt;Web_URL&gt;&lt;u&gt;http://www.codexalimentarius.net/web/standard_list.do?lang=en&lt;/u&gt;&lt;/Web_URL&gt;&lt;Web_URL_Link2&gt;file://Y:\References\GM References_in RefMan&lt;u&gt;\Codex_2004_Principles for the risk analysis of foods derived from modern biotech.pdf&lt;/u&gt;&lt;/Web_URL_Link2&gt;&lt;ZZ_WorkformID&gt;24&lt;/ZZ_WorkformID&gt;&lt;/MDL&gt;&lt;/Cite&gt;&lt;/Refman&gt;</w:instrText>
      </w:r>
      <w:r w:rsidRPr="00DA1ABB">
        <w:rPr>
          <w:color w:val="000000" w:themeColor="text1"/>
        </w:rPr>
        <w:fldChar w:fldCharType="separate"/>
      </w:r>
      <w:r w:rsidRPr="00DA1ABB">
        <w:rPr>
          <w:noProof/>
          <w:color w:val="000000" w:themeColor="text1"/>
        </w:rPr>
        <w:t>(Codex 2004)</w:t>
      </w:r>
      <w:r w:rsidRPr="00DA1ABB">
        <w:rPr>
          <w:color w:val="000000" w:themeColor="text1"/>
        </w:rPr>
        <w:fldChar w:fldCharType="end"/>
      </w:r>
      <w:r w:rsidRPr="00DA1ABB">
        <w:rPr>
          <w:color w:val="000000" w:themeColor="text1"/>
        </w:rPr>
        <w:t>. Based on these principles, the risk analysis undertaken for E12 used the best scientific evidence available. The Applicant submitted to FSANZ a comprehensive dossier of quality-assured raw experimental data. In addition to the inform</w:t>
      </w:r>
      <w:r w:rsidR="002273FE" w:rsidRPr="00DA1ABB">
        <w:rPr>
          <w:color w:val="000000" w:themeColor="text1"/>
        </w:rPr>
        <w:t>ation supplied by the Applicant</w:t>
      </w:r>
      <w:r w:rsidRPr="00DA1ABB">
        <w:rPr>
          <w:color w:val="000000" w:themeColor="text1"/>
        </w:rPr>
        <w:t>, other available resource material including published scientific literature and general technical information was used in the safety assessment.</w:t>
      </w:r>
    </w:p>
    <w:p w14:paraId="1C9854D6" w14:textId="77777777" w:rsidR="008828D9" w:rsidRPr="00DA1ABB" w:rsidRDefault="008828D9" w:rsidP="008828D9">
      <w:pPr>
        <w:rPr>
          <w:color w:val="000000" w:themeColor="text1"/>
        </w:rPr>
      </w:pPr>
    </w:p>
    <w:p w14:paraId="1C9854D7" w14:textId="77777777" w:rsidR="00022DBC" w:rsidRPr="00DA1ABB" w:rsidRDefault="00022DBC" w:rsidP="00022DBC">
      <w:pPr>
        <w:pStyle w:val="FSBullet1"/>
        <w:rPr>
          <w:b/>
          <w:color w:val="000000" w:themeColor="text1"/>
        </w:rPr>
      </w:pPr>
      <w:r w:rsidRPr="00DA1ABB">
        <w:rPr>
          <w:b/>
          <w:color w:val="000000" w:themeColor="text1"/>
        </w:rPr>
        <w:t>the promotion of consistency between domestic and international food standards</w:t>
      </w:r>
    </w:p>
    <w:p w14:paraId="1C9854D8" w14:textId="77777777" w:rsidR="008828D9" w:rsidRPr="00DA1ABB" w:rsidRDefault="008828D9" w:rsidP="008828D9">
      <w:pPr>
        <w:rPr>
          <w:color w:val="000000" w:themeColor="text1"/>
          <w:lang w:bidi="ar-SA"/>
        </w:rPr>
      </w:pPr>
    </w:p>
    <w:p w14:paraId="1C9854D9" w14:textId="77777777" w:rsidR="008828D9" w:rsidRPr="00DA1ABB" w:rsidRDefault="007210AB" w:rsidP="008828D9">
      <w:pPr>
        <w:rPr>
          <w:color w:val="000000" w:themeColor="text1"/>
        </w:rPr>
      </w:pPr>
      <w:r w:rsidRPr="00DA1ABB">
        <w:rPr>
          <w:color w:val="000000" w:themeColor="text1"/>
        </w:rPr>
        <w:t>This is not a consideration as there are no relevant international standards.</w:t>
      </w:r>
    </w:p>
    <w:p w14:paraId="1C9854DA" w14:textId="77777777" w:rsidR="008828D9" w:rsidRPr="00DA1ABB" w:rsidRDefault="008828D9" w:rsidP="008828D9">
      <w:pPr>
        <w:rPr>
          <w:color w:val="000000" w:themeColor="text1"/>
          <w:lang w:bidi="ar-SA"/>
        </w:rPr>
      </w:pPr>
    </w:p>
    <w:p w14:paraId="1C9854DB" w14:textId="77777777" w:rsidR="00022DBC" w:rsidRPr="00DA1ABB" w:rsidRDefault="00022DBC" w:rsidP="00022DBC">
      <w:pPr>
        <w:pStyle w:val="FSBullet1"/>
        <w:rPr>
          <w:b/>
          <w:color w:val="000000" w:themeColor="text1"/>
        </w:rPr>
      </w:pPr>
      <w:r w:rsidRPr="00DA1ABB">
        <w:rPr>
          <w:b/>
          <w:color w:val="000000" w:themeColor="text1"/>
        </w:rPr>
        <w:t>the desirability of an efficient and internationally competitive food industry</w:t>
      </w:r>
    </w:p>
    <w:p w14:paraId="1C9854DC" w14:textId="77777777" w:rsidR="008828D9" w:rsidRPr="00DA1ABB" w:rsidRDefault="008828D9" w:rsidP="008828D9">
      <w:pPr>
        <w:rPr>
          <w:color w:val="000000" w:themeColor="text1"/>
          <w:lang w:bidi="ar-SA"/>
        </w:rPr>
      </w:pPr>
    </w:p>
    <w:p w14:paraId="1C9854DD" w14:textId="77777777" w:rsidR="001A491E" w:rsidRPr="00DA1ABB" w:rsidRDefault="001A491E" w:rsidP="001A491E">
      <w:pPr>
        <w:rPr>
          <w:color w:val="000000" w:themeColor="text1"/>
        </w:rPr>
      </w:pPr>
      <w:r w:rsidRPr="00DA1ABB">
        <w:rPr>
          <w:color w:val="000000" w:themeColor="text1"/>
        </w:rPr>
        <w:t>The inclusion of GM foods in the food supply, providing there are no safety concerns, allows for innovation by developers and a widening of the technological base for the production of foods. E12 is a new food crop designed to reduce blackspot bruising</w:t>
      </w:r>
      <w:r w:rsidR="002273FE" w:rsidRPr="00DA1ABB">
        <w:rPr>
          <w:color w:val="000000" w:themeColor="text1"/>
        </w:rPr>
        <w:t xml:space="preserve"> in raw potatoes</w:t>
      </w:r>
      <w:r w:rsidR="00A65EA3" w:rsidRPr="00DA1ABB">
        <w:rPr>
          <w:color w:val="000000" w:themeColor="text1"/>
        </w:rPr>
        <w:t xml:space="preserve"> and acrylamide levels in cooked potato products. The Applicant has indicated that reduced blackspot bruising </w:t>
      </w:r>
      <w:r w:rsidRPr="00DA1ABB">
        <w:rPr>
          <w:color w:val="000000" w:themeColor="text1"/>
        </w:rPr>
        <w:t>can reduce wastage during storage and processing of potatoes</w:t>
      </w:r>
      <w:r w:rsidR="00A65EA3" w:rsidRPr="00DA1ABB">
        <w:rPr>
          <w:color w:val="000000" w:themeColor="text1"/>
        </w:rPr>
        <w:t xml:space="preserve">, and that </w:t>
      </w:r>
      <w:r w:rsidRPr="00DA1ABB">
        <w:rPr>
          <w:color w:val="000000" w:themeColor="text1"/>
        </w:rPr>
        <w:t>reduce</w:t>
      </w:r>
      <w:r w:rsidR="00A65EA3" w:rsidRPr="00DA1ABB">
        <w:rPr>
          <w:color w:val="000000" w:themeColor="text1"/>
        </w:rPr>
        <w:t>d acrylamide levels</w:t>
      </w:r>
      <w:r w:rsidRPr="00DA1ABB">
        <w:rPr>
          <w:color w:val="000000" w:themeColor="text1"/>
        </w:rPr>
        <w:t xml:space="preserve"> may provide potential health benefits to consumers. </w:t>
      </w:r>
    </w:p>
    <w:p w14:paraId="1C9854DE" w14:textId="77777777" w:rsidR="008828D9" w:rsidRPr="00DA1ABB" w:rsidRDefault="008828D9" w:rsidP="008828D9">
      <w:pPr>
        <w:rPr>
          <w:color w:val="000000" w:themeColor="text1"/>
        </w:rPr>
      </w:pPr>
    </w:p>
    <w:p w14:paraId="1C9854DF" w14:textId="77777777" w:rsidR="00022DBC" w:rsidRPr="00DA1ABB" w:rsidRDefault="00022DBC" w:rsidP="00022DBC">
      <w:pPr>
        <w:pStyle w:val="FSBullet1"/>
        <w:rPr>
          <w:b/>
          <w:color w:val="000000" w:themeColor="text1"/>
        </w:rPr>
      </w:pPr>
      <w:r w:rsidRPr="00DA1ABB">
        <w:rPr>
          <w:b/>
          <w:color w:val="000000" w:themeColor="text1"/>
        </w:rPr>
        <w:t>the promotion of fair trading in food</w:t>
      </w:r>
    </w:p>
    <w:p w14:paraId="1C9854E0" w14:textId="77777777" w:rsidR="008828D9" w:rsidRPr="00DA1ABB" w:rsidRDefault="008828D9" w:rsidP="008828D9">
      <w:pPr>
        <w:rPr>
          <w:color w:val="000000" w:themeColor="text1"/>
          <w:lang w:bidi="ar-SA"/>
        </w:rPr>
      </w:pPr>
    </w:p>
    <w:p w14:paraId="1C9854E1" w14:textId="77777777" w:rsidR="008828D9" w:rsidRPr="00DA1ABB" w:rsidRDefault="001A491E" w:rsidP="008828D9">
      <w:pPr>
        <w:rPr>
          <w:color w:val="000000" w:themeColor="text1"/>
        </w:rPr>
      </w:pPr>
      <w:r w:rsidRPr="00DA1ABB">
        <w:rPr>
          <w:color w:val="000000" w:themeColor="text1"/>
        </w:rPr>
        <w:t>Not applicable.</w:t>
      </w:r>
    </w:p>
    <w:p w14:paraId="1C9854E2" w14:textId="77777777" w:rsidR="008828D9" w:rsidRPr="00DA1ABB" w:rsidRDefault="008828D9" w:rsidP="008828D9">
      <w:pPr>
        <w:rPr>
          <w:color w:val="000000" w:themeColor="text1"/>
          <w:lang w:bidi="ar-SA"/>
        </w:rPr>
      </w:pPr>
    </w:p>
    <w:p w14:paraId="1C9854E3" w14:textId="77777777" w:rsidR="00022DBC" w:rsidRPr="00DA1ABB" w:rsidRDefault="00022DBC" w:rsidP="00022DBC">
      <w:pPr>
        <w:pStyle w:val="FSBullet1"/>
        <w:rPr>
          <w:color w:val="000000" w:themeColor="text1"/>
        </w:rPr>
      </w:pPr>
      <w:r w:rsidRPr="00DA1ABB">
        <w:rPr>
          <w:b/>
          <w:color w:val="000000" w:themeColor="text1"/>
        </w:rPr>
        <w:t xml:space="preserve">any written policy guidelines formulated by the </w:t>
      </w:r>
      <w:r w:rsidR="006E527D" w:rsidRPr="00DA1ABB">
        <w:rPr>
          <w:b/>
          <w:color w:val="000000" w:themeColor="text1"/>
        </w:rPr>
        <w:t>Forum on Food Regulation</w:t>
      </w:r>
    </w:p>
    <w:p w14:paraId="1C9854E4" w14:textId="77777777" w:rsidR="00022DBC" w:rsidRPr="00DA1ABB" w:rsidRDefault="00022DBC" w:rsidP="00022DBC">
      <w:pPr>
        <w:rPr>
          <w:color w:val="000000" w:themeColor="text1"/>
          <w:lang w:bidi="ar-SA"/>
        </w:rPr>
      </w:pPr>
    </w:p>
    <w:p w14:paraId="1C9854E5" w14:textId="77777777" w:rsidR="00022DBC" w:rsidRPr="00DA1ABB" w:rsidRDefault="00A65EA3" w:rsidP="00022DBC">
      <w:pPr>
        <w:rPr>
          <w:color w:val="000000" w:themeColor="text1"/>
        </w:rPr>
      </w:pPr>
      <w:r w:rsidRPr="00DA1ABB">
        <w:rPr>
          <w:color w:val="000000" w:themeColor="text1"/>
        </w:rPr>
        <w:t>No specific policy guidelines have been developed since Standard 1.5.2 commenced.</w:t>
      </w:r>
    </w:p>
    <w:p w14:paraId="1C9854E6" w14:textId="77777777" w:rsidR="00E520FE" w:rsidRPr="00DA1ABB" w:rsidRDefault="00E520FE" w:rsidP="00DD3C5E">
      <w:pPr>
        <w:rPr>
          <w:color w:val="000000" w:themeColor="text1"/>
        </w:rPr>
      </w:pPr>
    </w:p>
    <w:p w14:paraId="1C9854E7" w14:textId="77777777" w:rsidR="005F7342" w:rsidRPr="00DA1ABB" w:rsidRDefault="00867B23" w:rsidP="00E203C2">
      <w:pPr>
        <w:pStyle w:val="Heading1"/>
        <w:rPr>
          <w:color w:val="000000" w:themeColor="text1"/>
        </w:rPr>
      </w:pPr>
      <w:bookmarkStart w:id="75" w:name="_Toc286391014"/>
      <w:bookmarkStart w:id="76" w:name="_Toc175381455"/>
      <w:bookmarkStart w:id="77" w:name="_Toc300933445"/>
      <w:bookmarkStart w:id="78" w:name="_Toc454376575"/>
      <w:bookmarkEnd w:id="26"/>
      <w:bookmarkEnd w:id="27"/>
      <w:bookmarkEnd w:id="28"/>
      <w:bookmarkEnd w:id="29"/>
      <w:bookmarkEnd w:id="30"/>
      <w:bookmarkEnd w:id="31"/>
      <w:bookmarkEnd w:id="49"/>
      <w:r w:rsidRPr="00DA1ABB">
        <w:rPr>
          <w:color w:val="000000" w:themeColor="text1"/>
        </w:rPr>
        <w:t>3</w:t>
      </w:r>
      <w:r w:rsidR="00F604DE" w:rsidRPr="00DA1ABB">
        <w:rPr>
          <w:color w:val="000000" w:themeColor="text1"/>
        </w:rPr>
        <w:tab/>
      </w:r>
      <w:bookmarkEnd w:id="75"/>
      <w:bookmarkEnd w:id="76"/>
      <w:bookmarkEnd w:id="77"/>
      <w:r w:rsidR="00D14405" w:rsidRPr="00DA1ABB">
        <w:rPr>
          <w:color w:val="000000" w:themeColor="text1"/>
        </w:rPr>
        <w:t>Draft variation</w:t>
      </w:r>
      <w:bookmarkEnd w:id="78"/>
    </w:p>
    <w:p w14:paraId="1C9854EA" w14:textId="478A283B" w:rsidR="00A12B44" w:rsidRPr="00DA1ABB" w:rsidRDefault="00D209C9" w:rsidP="00A12B44">
      <w:pPr>
        <w:rPr>
          <w:color w:val="000000" w:themeColor="text1"/>
          <w:u w:val="single"/>
        </w:rPr>
      </w:pPr>
      <w:r w:rsidRPr="00DA1ABB">
        <w:rPr>
          <w:color w:val="000000" w:themeColor="text1"/>
        </w:rPr>
        <w:t xml:space="preserve">The </w:t>
      </w:r>
      <w:r w:rsidR="00DA1ABB" w:rsidRPr="00DA1ABB">
        <w:rPr>
          <w:color w:val="000000" w:themeColor="text1"/>
        </w:rPr>
        <w:t>proposed draft variation to the</w:t>
      </w:r>
      <w:r w:rsidRPr="00DA1ABB">
        <w:rPr>
          <w:color w:val="000000" w:themeColor="text1"/>
        </w:rPr>
        <w:t xml:space="preserve"> Code is at Attachment A and is intended to take effect on </w:t>
      </w:r>
      <w:r w:rsidR="00A65EA3" w:rsidRPr="00DA1ABB">
        <w:rPr>
          <w:color w:val="000000" w:themeColor="text1"/>
        </w:rPr>
        <w:t>gazettal</w:t>
      </w:r>
      <w:r w:rsidRPr="00DA1ABB">
        <w:rPr>
          <w:color w:val="000000" w:themeColor="text1"/>
        </w:rPr>
        <w:t>.</w:t>
      </w:r>
      <w:r w:rsidR="007D7B06">
        <w:rPr>
          <w:color w:val="000000" w:themeColor="text1"/>
        </w:rPr>
        <w:t xml:space="preserve"> </w:t>
      </w:r>
      <w:r w:rsidR="002C4A91" w:rsidRPr="00DA1ABB">
        <w:rPr>
          <w:color w:val="000000" w:themeColor="text1"/>
        </w:rPr>
        <w:t>A</w:t>
      </w:r>
      <w:r w:rsidR="005358B0" w:rsidRPr="00DA1ABB">
        <w:rPr>
          <w:color w:val="000000" w:themeColor="text1"/>
        </w:rPr>
        <w:t xml:space="preserve"> draft explanatory statement </w:t>
      </w:r>
      <w:r w:rsidR="002C4A91" w:rsidRPr="00DA1ABB">
        <w:rPr>
          <w:color w:val="000000" w:themeColor="text1"/>
        </w:rPr>
        <w:t>is</w:t>
      </w:r>
      <w:r w:rsidR="005358B0" w:rsidRPr="00DA1ABB">
        <w:rPr>
          <w:color w:val="000000" w:themeColor="text1"/>
        </w:rPr>
        <w:t xml:space="preserve"> at Attachment B. </w:t>
      </w:r>
      <w:r w:rsidR="00D26814" w:rsidRPr="00DA1ABB">
        <w:rPr>
          <w:color w:val="000000" w:themeColor="text1"/>
        </w:rPr>
        <w:t>An explanatory statement is required to accompany an instrument if it is lodged on the Federal Register of Legislati</w:t>
      </w:r>
      <w:r w:rsidR="004D6BBF" w:rsidRPr="00DA1ABB">
        <w:rPr>
          <w:color w:val="000000" w:themeColor="text1"/>
        </w:rPr>
        <w:t>on</w:t>
      </w:r>
      <w:r w:rsidR="00D26814" w:rsidRPr="00DA1ABB">
        <w:rPr>
          <w:color w:val="000000" w:themeColor="text1"/>
        </w:rPr>
        <w:t xml:space="preserve">. </w:t>
      </w:r>
    </w:p>
    <w:p w14:paraId="1C9854EB" w14:textId="38D0AB21" w:rsidR="007D7B06" w:rsidRDefault="007D7B06" w:rsidP="002432EE">
      <w:pPr>
        <w:rPr>
          <w:rFonts w:cs="Arial"/>
          <w:color w:val="000000" w:themeColor="text1"/>
        </w:rPr>
      </w:pPr>
      <w:bookmarkStart w:id="79" w:name="_Toc11735643"/>
      <w:bookmarkStart w:id="80" w:name="_Toc29883130"/>
      <w:bookmarkStart w:id="81" w:name="_Toc41906817"/>
      <w:bookmarkStart w:id="82" w:name="_Toc41907564"/>
      <w:bookmarkStart w:id="83" w:name="_Toc43112360"/>
      <w:r>
        <w:rPr>
          <w:rFonts w:cs="Arial"/>
          <w:color w:val="000000" w:themeColor="text1"/>
        </w:rPr>
        <w:br w:type="page"/>
      </w:r>
    </w:p>
    <w:p w14:paraId="1C9854EC" w14:textId="77777777" w:rsidR="001F583E" w:rsidRPr="00DA1ABB" w:rsidRDefault="00867B23" w:rsidP="001F583E">
      <w:pPr>
        <w:pStyle w:val="Heading1"/>
        <w:rPr>
          <w:color w:val="000000" w:themeColor="text1"/>
        </w:rPr>
      </w:pPr>
      <w:bookmarkStart w:id="84" w:name="_Toc300933452"/>
      <w:bookmarkStart w:id="85" w:name="_Toc454376576"/>
      <w:r w:rsidRPr="00DA1ABB">
        <w:rPr>
          <w:color w:val="000000" w:themeColor="text1"/>
        </w:rPr>
        <w:lastRenderedPageBreak/>
        <w:t>4</w:t>
      </w:r>
      <w:r w:rsidR="00924C80" w:rsidRPr="00DA1ABB">
        <w:rPr>
          <w:color w:val="000000" w:themeColor="text1"/>
        </w:rPr>
        <w:tab/>
        <w:t>R</w:t>
      </w:r>
      <w:bookmarkEnd w:id="84"/>
      <w:r w:rsidR="006C28E2" w:rsidRPr="00DA1ABB">
        <w:rPr>
          <w:color w:val="000000" w:themeColor="text1"/>
        </w:rPr>
        <w:t>eferences</w:t>
      </w:r>
      <w:bookmarkEnd w:id="85"/>
    </w:p>
    <w:p w14:paraId="1C9854ED" w14:textId="77777777" w:rsidR="001F583E" w:rsidRPr="001F583E" w:rsidRDefault="001F583E" w:rsidP="001F583E">
      <w:pPr>
        <w:tabs>
          <w:tab w:val="left" w:pos="0"/>
        </w:tabs>
        <w:rPr>
          <w:rFonts w:cs="Arial"/>
          <w:noProof/>
          <w:sz w:val="20"/>
          <w:szCs w:val="20"/>
        </w:rPr>
      </w:pPr>
      <w:r w:rsidRPr="001F583E">
        <w:rPr>
          <w:rFonts w:cs="Arial"/>
          <w:noProof/>
          <w:sz w:val="20"/>
          <w:szCs w:val="20"/>
        </w:rPr>
        <w:t>Codex (2004) Principles for the risk analysis of foods derived from modern biotechnology. CAC/GL 44-2003. Codex Alimentarius Commission, Rome.</w:t>
      </w:r>
    </w:p>
    <w:p w14:paraId="1C9854EE" w14:textId="77777777" w:rsidR="001F583E" w:rsidRPr="001F583E" w:rsidRDefault="005B3AFC" w:rsidP="001F583E">
      <w:pPr>
        <w:tabs>
          <w:tab w:val="left" w:pos="0"/>
        </w:tabs>
        <w:spacing w:after="240"/>
        <w:rPr>
          <w:rFonts w:cs="Arial"/>
          <w:noProof/>
          <w:sz w:val="20"/>
          <w:szCs w:val="20"/>
          <w:u w:val="single"/>
        </w:rPr>
      </w:pPr>
      <w:hyperlink r:id="rId22" w:history="1">
        <w:r w:rsidR="001F583E" w:rsidRPr="001F583E">
          <w:rPr>
            <w:rStyle w:val="Hyperlink"/>
            <w:rFonts w:cs="Arial"/>
            <w:noProof/>
            <w:sz w:val="20"/>
            <w:szCs w:val="20"/>
          </w:rPr>
          <w:t>http://www.codexalimentarius.net/web/standard_list.do?lang=en</w:t>
        </w:r>
      </w:hyperlink>
    </w:p>
    <w:p w14:paraId="1C9854EF" w14:textId="77777777" w:rsidR="001F583E" w:rsidRPr="001F583E" w:rsidRDefault="001F583E" w:rsidP="001F583E">
      <w:pPr>
        <w:tabs>
          <w:tab w:val="left" w:pos="0"/>
        </w:tabs>
        <w:rPr>
          <w:rFonts w:cs="Arial"/>
          <w:noProof/>
          <w:sz w:val="20"/>
          <w:szCs w:val="20"/>
        </w:rPr>
      </w:pPr>
      <w:r w:rsidRPr="001F583E">
        <w:rPr>
          <w:rFonts w:cs="Arial"/>
          <w:noProof/>
          <w:sz w:val="20"/>
          <w:szCs w:val="20"/>
        </w:rPr>
        <w:t>FSANZ (2007) Safety assessment of genetically modified foods - guidance document. Document prepared by Food Standards Australia New Zealand.</w:t>
      </w:r>
    </w:p>
    <w:p w14:paraId="1C9854F0" w14:textId="77777777" w:rsidR="001F583E" w:rsidRPr="001F583E" w:rsidRDefault="005B3AFC" w:rsidP="001F583E">
      <w:pPr>
        <w:tabs>
          <w:tab w:val="left" w:pos="0"/>
        </w:tabs>
        <w:rPr>
          <w:rFonts w:cs="Arial"/>
          <w:noProof/>
          <w:sz w:val="20"/>
          <w:szCs w:val="20"/>
          <w:u w:val="single"/>
        </w:rPr>
      </w:pPr>
      <w:hyperlink r:id="rId23" w:history="1">
        <w:r w:rsidR="001F583E" w:rsidRPr="001F583E">
          <w:rPr>
            <w:rStyle w:val="Hyperlink"/>
            <w:rFonts w:cs="Arial"/>
            <w:noProof/>
            <w:sz w:val="20"/>
            <w:szCs w:val="20"/>
          </w:rPr>
          <w:t>http://www.foodstandards.gov.au/publications/Pages/Safety-Assessment-of-Genetically-Modified-Foods-Guidance-Document-.aspx</w:t>
        </w:r>
      </w:hyperlink>
    </w:p>
    <w:bookmarkEnd w:id="79"/>
    <w:bookmarkEnd w:id="80"/>
    <w:bookmarkEnd w:id="81"/>
    <w:bookmarkEnd w:id="82"/>
    <w:bookmarkEnd w:id="83"/>
    <w:p w14:paraId="1C9854F1"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C9854F2" w14:textId="77777777" w:rsidR="00A4175D" w:rsidRPr="00E203C2" w:rsidRDefault="00A4175D" w:rsidP="00AF06FC"/>
    <w:p w14:paraId="1C9854F3" w14:textId="77777777"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1C9854F4" w14:textId="77777777" w:rsidR="00AB0275" w:rsidRDefault="00AB0275" w:rsidP="00AB0275">
      <w:pPr>
        <w:ind w:left="567" w:hanging="567"/>
      </w:pPr>
      <w:r w:rsidRPr="00456BD5">
        <w:t>B.</w:t>
      </w:r>
      <w:r w:rsidRPr="00456BD5">
        <w:tab/>
      </w:r>
      <w:r w:rsidR="002C4A91">
        <w:t xml:space="preserve">Draft </w:t>
      </w:r>
      <w:r>
        <w:t xml:space="preserve">Explanatory Statement </w:t>
      </w:r>
    </w:p>
    <w:p w14:paraId="1C9854F5" w14:textId="77777777" w:rsidR="00D60568" w:rsidRPr="00E203C2" w:rsidRDefault="00D60568" w:rsidP="002432EE"/>
    <w:p w14:paraId="1C9854F6" w14:textId="77777777" w:rsidR="00296F74" w:rsidRPr="00DA1ABB" w:rsidRDefault="00AB0275" w:rsidP="00296F74">
      <w:pPr>
        <w:pStyle w:val="Heading2"/>
        <w:ind w:left="0" w:firstLine="0"/>
        <w:rPr>
          <w:color w:val="000000" w:themeColor="text1"/>
        </w:rPr>
      </w:pPr>
      <w:bookmarkStart w:id="86" w:name="_Toc300933454"/>
      <w:r w:rsidRPr="00932F14">
        <w:br w:type="page"/>
      </w:r>
      <w:bookmarkStart w:id="87" w:name="_Toc29883131"/>
      <w:bookmarkStart w:id="88" w:name="_Toc41906818"/>
      <w:bookmarkStart w:id="89" w:name="_Toc41907565"/>
      <w:bookmarkStart w:id="90" w:name="_Toc120358596"/>
      <w:bookmarkStart w:id="91" w:name="_Toc175381458"/>
      <w:bookmarkStart w:id="92" w:name="_Toc11735644"/>
      <w:bookmarkStart w:id="93" w:name="_Toc415572037"/>
      <w:bookmarkStart w:id="94" w:name="_Toc438026191"/>
      <w:bookmarkStart w:id="95" w:name="_Toc454376577"/>
      <w:bookmarkEnd w:id="86"/>
      <w:r w:rsidR="00296F74" w:rsidRPr="00DA1ABB">
        <w:rPr>
          <w:color w:val="000000" w:themeColor="text1"/>
        </w:rPr>
        <w:lastRenderedPageBreak/>
        <w:t xml:space="preserve">Attachment </w:t>
      </w:r>
      <w:bookmarkEnd w:id="87"/>
      <w:bookmarkEnd w:id="88"/>
      <w:bookmarkEnd w:id="89"/>
      <w:bookmarkEnd w:id="90"/>
      <w:bookmarkEnd w:id="91"/>
      <w:r w:rsidR="00296F74" w:rsidRPr="00DA1ABB">
        <w:rPr>
          <w:color w:val="000000" w:themeColor="text1"/>
        </w:rPr>
        <w:t>A</w:t>
      </w:r>
      <w:bookmarkStart w:id="96" w:name="_Toc120358597"/>
      <w:bookmarkStart w:id="97" w:name="_Toc175381459"/>
      <w:bookmarkEnd w:id="92"/>
      <w:r w:rsidR="00296F74" w:rsidRPr="00DA1ABB">
        <w:rPr>
          <w:color w:val="000000" w:themeColor="text1"/>
        </w:rPr>
        <w:t xml:space="preserve"> – </w:t>
      </w:r>
      <w:bookmarkStart w:id="98" w:name="_Toc415572039"/>
      <w:bookmarkEnd w:id="93"/>
      <w:bookmarkEnd w:id="96"/>
      <w:bookmarkEnd w:id="97"/>
      <w:r w:rsidR="00296F74" w:rsidRPr="00DA1ABB">
        <w:rPr>
          <w:color w:val="000000" w:themeColor="text1"/>
        </w:rPr>
        <w:t xml:space="preserve">Draft variation to the </w:t>
      </w:r>
      <w:r w:rsidR="00296F74" w:rsidRPr="00DA1ABB">
        <w:rPr>
          <w:i/>
          <w:color w:val="000000" w:themeColor="text1"/>
        </w:rPr>
        <w:t>Australia New Zealand Food Standards Code</w:t>
      </w:r>
      <w:bookmarkEnd w:id="94"/>
      <w:bookmarkEnd w:id="95"/>
      <w:bookmarkEnd w:id="98"/>
    </w:p>
    <w:p w14:paraId="1C9854F7" w14:textId="77777777" w:rsidR="00296F74" w:rsidRPr="00DA1ABB" w:rsidRDefault="00296F74" w:rsidP="00296F74">
      <w:pPr>
        <w:rPr>
          <w:noProof/>
          <w:color w:val="000000" w:themeColor="text1"/>
          <w:sz w:val="20"/>
          <w:lang w:val="en-AU" w:eastAsia="en-AU"/>
        </w:rPr>
      </w:pPr>
      <w:r w:rsidRPr="00DA1ABB">
        <w:rPr>
          <w:noProof/>
          <w:color w:val="000000" w:themeColor="text1"/>
          <w:sz w:val="20"/>
          <w:lang w:eastAsia="en-GB" w:bidi="ar-SA"/>
        </w:rPr>
        <w:drawing>
          <wp:inline distT="0" distB="0" distL="0" distR="0" wp14:anchorId="1C985543" wp14:editId="1C985544">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C9854F8" w14:textId="77777777" w:rsidR="00296F74" w:rsidRPr="00DA1ABB" w:rsidRDefault="00296F74" w:rsidP="00296F74">
      <w:pPr>
        <w:widowControl/>
        <w:pBdr>
          <w:bottom w:val="single" w:sz="4" w:space="1" w:color="auto"/>
        </w:pBdr>
        <w:tabs>
          <w:tab w:val="left" w:pos="851"/>
        </w:tabs>
        <w:jc w:val="center"/>
        <w:rPr>
          <w:rFonts w:eastAsiaTheme="minorHAnsi" w:cstheme="minorBidi"/>
          <w:color w:val="000000" w:themeColor="text1"/>
          <w:sz w:val="20"/>
          <w:szCs w:val="20"/>
          <w:lang w:eastAsia="en-GB" w:bidi="ar-SA"/>
        </w:rPr>
      </w:pPr>
    </w:p>
    <w:p w14:paraId="1C9854F9" w14:textId="77777777" w:rsidR="00296F74" w:rsidRPr="00DA1ABB" w:rsidRDefault="00296F74" w:rsidP="00296F74">
      <w:pPr>
        <w:pBdr>
          <w:bottom w:val="single" w:sz="4" w:space="1" w:color="auto"/>
        </w:pBdr>
        <w:rPr>
          <w:b/>
          <w:color w:val="000000" w:themeColor="text1"/>
          <w:sz w:val="20"/>
          <w:szCs w:val="20"/>
        </w:rPr>
      </w:pPr>
      <w:r w:rsidRPr="00DA1ABB">
        <w:rPr>
          <w:rFonts w:cs="Arial"/>
          <w:b/>
          <w:color w:val="000000" w:themeColor="text1"/>
          <w:sz w:val="20"/>
          <w:szCs w:val="20"/>
        </w:rPr>
        <w:t xml:space="preserve">Food Standards (Application </w:t>
      </w:r>
      <w:r w:rsidR="004D15CD" w:rsidRPr="00DA1ABB">
        <w:rPr>
          <w:b/>
          <w:color w:val="000000" w:themeColor="text1"/>
          <w:sz w:val="20"/>
        </w:rPr>
        <w:t>A112</w:t>
      </w:r>
      <w:r w:rsidRPr="00DA1ABB">
        <w:rPr>
          <w:b/>
          <w:color w:val="000000" w:themeColor="text1"/>
          <w:sz w:val="20"/>
        </w:rPr>
        <w:t>8 –</w:t>
      </w:r>
      <w:r w:rsidR="004D15CD" w:rsidRPr="00DA1ABB">
        <w:rPr>
          <w:color w:val="000000" w:themeColor="text1"/>
        </w:rPr>
        <w:t xml:space="preserve"> </w:t>
      </w:r>
      <w:r w:rsidR="004D15CD" w:rsidRPr="00DA1ABB">
        <w:rPr>
          <w:b/>
          <w:bCs/>
          <w:color w:val="000000" w:themeColor="text1"/>
          <w:sz w:val="20"/>
        </w:rPr>
        <w:t>Food derived from reduced Acrylamide Potential &amp; Browning Potato Line E12</w:t>
      </w:r>
      <w:r w:rsidRPr="00DA1ABB">
        <w:rPr>
          <w:rFonts w:cs="Arial"/>
          <w:b/>
          <w:color w:val="000000" w:themeColor="text1"/>
          <w:sz w:val="20"/>
          <w:szCs w:val="20"/>
        </w:rPr>
        <w:t>)</w:t>
      </w:r>
      <w:r w:rsidRPr="00DA1ABB">
        <w:rPr>
          <w:b/>
          <w:color w:val="000000" w:themeColor="text1"/>
          <w:sz w:val="20"/>
          <w:szCs w:val="20"/>
        </w:rPr>
        <w:t xml:space="preserve"> Variation</w:t>
      </w:r>
    </w:p>
    <w:p w14:paraId="1C9854FA" w14:textId="77777777" w:rsidR="00296F74" w:rsidRPr="00DA1ABB" w:rsidRDefault="00296F74" w:rsidP="00296F74">
      <w:pPr>
        <w:pBdr>
          <w:bottom w:val="single" w:sz="4" w:space="1" w:color="auto"/>
        </w:pBdr>
        <w:rPr>
          <w:b/>
          <w:color w:val="000000" w:themeColor="text1"/>
          <w:sz w:val="20"/>
          <w:szCs w:val="20"/>
        </w:rPr>
      </w:pPr>
    </w:p>
    <w:p w14:paraId="1C9854FB" w14:textId="77777777" w:rsidR="00296F74" w:rsidRPr="00DA1ABB" w:rsidRDefault="00296F74" w:rsidP="00296F74">
      <w:pPr>
        <w:rPr>
          <w:color w:val="000000" w:themeColor="text1"/>
          <w:sz w:val="20"/>
        </w:rPr>
      </w:pPr>
    </w:p>
    <w:p w14:paraId="1C9854FC" w14:textId="77777777" w:rsidR="00296F74" w:rsidRPr="00DA1ABB" w:rsidRDefault="00296F74" w:rsidP="00296F74">
      <w:pPr>
        <w:rPr>
          <w:color w:val="000000" w:themeColor="text1"/>
          <w:sz w:val="20"/>
        </w:rPr>
      </w:pPr>
      <w:r w:rsidRPr="00DA1ABB">
        <w:rPr>
          <w:color w:val="000000" w:themeColor="text1"/>
          <w:sz w:val="20"/>
        </w:rPr>
        <w:t xml:space="preserve">The Board of Food Standards Australia New Zealand gives notice of the making of this variation under section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1C9854FD" w14:textId="77777777" w:rsidR="00296F74" w:rsidRPr="00DA1ABB" w:rsidRDefault="00296F74" w:rsidP="00296F74">
      <w:pPr>
        <w:rPr>
          <w:color w:val="000000" w:themeColor="text1"/>
          <w:sz w:val="20"/>
        </w:rPr>
      </w:pPr>
    </w:p>
    <w:p w14:paraId="1C9854FE" w14:textId="77777777" w:rsidR="00296F74" w:rsidRPr="00DA1ABB" w:rsidRDefault="00296F74" w:rsidP="00296F74">
      <w:pPr>
        <w:rPr>
          <w:color w:val="000000" w:themeColor="text1"/>
          <w:sz w:val="20"/>
        </w:rPr>
      </w:pPr>
      <w:r w:rsidRPr="00DA1ABB">
        <w:rPr>
          <w:color w:val="000000" w:themeColor="text1"/>
          <w:sz w:val="20"/>
        </w:rPr>
        <w:t>Dated [To be completed by Standards Management Officer]</w:t>
      </w:r>
    </w:p>
    <w:p w14:paraId="1C9854FF" w14:textId="77777777" w:rsidR="00296F74" w:rsidRPr="00DA1ABB" w:rsidRDefault="00296F74" w:rsidP="00296F74">
      <w:pPr>
        <w:rPr>
          <w:color w:val="000000" w:themeColor="text1"/>
          <w:sz w:val="20"/>
        </w:rPr>
      </w:pPr>
    </w:p>
    <w:p w14:paraId="1C985500" w14:textId="77777777" w:rsidR="00296F74" w:rsidRPr="00DA1ABB" w:rsidRDefault="00296F74" w:rsidP="00296F74">
      <w:pPr>
        <w:rPr>
          <w:color w:val="000000" w:themeColor="text1"/>
          <w:sz w:val="20"/>
        </w:rPr>
      </w:pPr>
    </w:p>
    <w:p w14:paraId="1C985501" w14:textId="77777777" w:rsidR="00296F74" w:rsidRPr="00DA1ABB" w:rsidRDefault="00296F74" w:rsidP="00296F74">
      <w:pPr>
        <w:rPr>
          <w:color w:val="000000" w:themeColor="text1"/>
          <w:sz w:val="20"/>
        </w:rPr>
      </w:pPr>
    </w:p>
    <w:p w14:paraId="1C985502" w14:textId="77777777" w:rsidR="00296F74" w:rsidRPr="00DA1ABB" w:rsidRDefault="00296F74" w:rsidP="00296F74">
      <w:pPr>
        <w:rPr>
          <w:color w:val="000000" w:themeColor="text1"/>
          <w:sz w:val="20"/>
        </w:rPr>
      </w:pPr>
    </w:p>
    <w:p w14:paraId="1C985503" w14:textId="77777777" w:rsidR="00296F74" w:rsidRPr="00DA1ABB" w:rsidRDefault="00296F74" w:rsidP="00296F74">
      <w:pPr>
        <w:rPr>
          <w:color w:val="000000" w:themeColor="text1"/>
          <w:sz w:val="20"/>
        </w:rPr>
      </w:pPr>
    </w:p>
    <w:p w14:paraId="1C985504" w14:textId="77777777" w:rsidR="00296F74" w:rsidRPr="00DA1ABB" w:rsidRDefault="00296F74" w:rsidP="00296F74">
      <w:pPr>
        <w:rPr>
          <w:color w:val="000000" w:themeColor="text1"/>
          <w:sz w:val="20"/>
        </w:rPr>
      </w:pPr>
      <w:r w:rsidRPr="00DA1ABB">
        <w:rPr>
          <w:color w:val="000000" w:themeColor="text1"/>
          <w:sz w:val="20"/>
        </w:rPr>
        <w:t>Standards Management Officer</w:t>
      </w:r>
    </w:p>
    <w:p w14:paraId="1C985505" w14:textId="77777777" w:rsidR="00296F74" w:rsidRPr="00DA1ABB" w:rsidRDefault="00296F74" w:rsidP="00296F74">
      <w:pPr>
        <w:rPr>
          <w:color w:val="000000" w:themeColor="text1"/>
          <w:sz w:val="20"/>
        </w:rPr>
      </w:pPr>
      <w:r w:rsidRPr="00DA1ABB">
        <w:rPr>
          <w:color w:val="000000" w:themeColor="text1"/>
          <w:sz w:val="20"/>
        </w:rPr>
        <w:t>Delegate of the Board of Food Standards Australia New Zealand</w:t>
      </w:r>
    </w:p>
    <w:p w14:paraId="1C985506" w14:textId="77777777" w:rsidR="00296F74" w:rsidRPr="00DA1ABB" w:rsidRDefault="00296F74" w:rsidP="00296F74">
      <w:pPr>
        <w:rPr>
          <w:color w:val="000000" w:themeColor="text1"/>
          <w:sz w:val="20"/>
        </w:rPr>
      </w:pPr>
    </w:p>
    <w:p w14:paraId="1C985507" w14:textId="77777777" w:rsidR="00296F74" w:rsidRPr="00296F74" w:rsidRDefault="00296F74" w:rsidP="00296F74">
      <w:pPr>
        <w:rPr>
          <w:sz w:val="20"/>
        </w:rPr>
      </w:pPr>
    </w:p>
    <w:p w14:paraId="1C985508" w14:textId="77777777" w:rsidR="00296F74" w:rsidRPr="00296F74" w:rsidRDefault="00296F74" w:rsidP="00296F74">
      <w:pPr>
        <w:rPr>
          <w:sz w:val="20"/>
        </w:rPr>
      </w:pPr>
    </w:p>
    <w:p w14:paraId="1C985509" w14:textId="77777777" w:rsidR="00296F74" w:rsidRPr="00296F74" w:rsidRDefault="00296F74" w:rsidP="00296F74">
      <w:pPr>
        <w:rPr>
          <w:sz w:val="20"/>
        </w:rPr>
      </w:pPr>
    </w:p>
    <w:p w14:paraId="1C98550A" w14:textId="77777777" w:rsidR="00296F74" w:rsidRPr="00296F74" w:rsidRDefault="00296F74" w:rsidP="00296F74">
      <w:pPr>
        <w:rPr>
          <w:sz w:val="20"/>
        </w:rPr>
      </w:pPr>
    </w:p>
    <w:p w14:paraId="1C98550B" w14:textId="77777777" w:rsidR="00296F74" w:rsidRPr="00296F74" w:rsidRDefault="00296F74" w:rsidP="00296F74">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296F74">
        <w:rPr>
          <w:b/>
          <w:sz w:val="20"/>
          <w:szCs w:val="20"/>
          <w:lang w:val="en-AU"/>
        </w:rPr>
        <w:t xml:space="preserve">Note:  </w:t>
      </w:r>
    </w:p>
    <w:p w14:paraId="1C98550C" w14:textId="77777777" w:rsidR="00296F74" w:rsidRPr="00296F74" w:rsidRDefault="00296F74" w:rsidP="00296F74">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1C98550D" w14:textId="77777777" w:rsidR="00296F74" w:rsidRPr="00296F74" w:rsidRDefault="00296F74" w:rsidP="00296F74">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296F74">
        <w:rPr>
          <w:sz w:val="20"/>
          <w:szCs w:val="20"/>
          <w:lang w:val="en-AU"/>
        </w:rPr>
        <w:t xml:space="preserve">This variation will be published in the Commonwealth of Australia Gazette No. FSC </w:t>
      </w:r>
      <w:r w:rsidRPr="00296F74">
        <w:rPr>
          <w:color w:val="FF0000"/>
          <w:sz w:val="20"/>
          <w:szCs w:val="20"/>
          <w:lang w:val="en-AU"/>
        </w:rPr>
        <w:t>XX on XX Month 20XX</w:t>
      </w:r>
      <w:r w:rsidRPr="00296F74">
        <w:rPr>
          <w:sz w:val="20"/>
          <w:szCs w:val="20"/>
          <w:lang w:val="en-AU"/>
        </w:rPr>
        <w:t>. This means that this date is the gazettal date for the purposes of the above notice.</w:t>
      </w:r>
    </w:p>
    <w:p w14:paraId="1C98550E" w14:textId="77777777" w:rsidR="00296F74" w:rsidRPr="00296F74" w:rsidRDefault="00296F74" w:rsidP="00296F74">
      <w:pPr>
        <w:rPr>
          <w:lang w:bidi="ar-SA"/>
        </w:rPr>
      </w:pPr>
    </w:p>
    <w:p w14:paraId="1C98550F" w14:textId="77777777" w:rsidR="00296F74" w:rsidRPr="00296F74" w:rsidRDefault="00296F74" w:rsidP="00296F74">
      <w:r w:rsidRPr="00296F74">
        <w:br w:type="page"/>
      </w:r>
    </w:p>
    <w:p w14:paraId="1C985510" w14:textId="77777777" w:rsidR="004D15CD" w:rsidRPr="00DA1ABB" w:rsidRDefault="004D15CD" w:rsidP="004D15CD">
      <w:pPr>
        <w:pStyle w:val="FSCDraftingitemheading"/>
        <w:rPr>
          <w:color w:val="000000" w:themeColor="text1"/>
        </w:rPr>
      </w:pPr>
      <w:r w:rsidRPr="00DA1ABB">
        <w:rPr>
          <w:color w:val="000000" w:themeColor="text1"/>
        </w:rPr>
        <w:lastRenderedPageBreak/>
        <w:t>1</w:t>
      </w:r>
      <w:r w:rsidRPr="00DA1ABB">
        <w:rPr>
          <w:color w:val="000000" w:themeColor="text1"/>
        </w:rPr>
        <w:tab/>
        <w:t>Name</w:t>
      </w:r>
    </w:p>
    <w:p w14:paraId="1C985511" w14:textId="77777777" w:rsidR="004D15CD" w:rsidRPr="00DA1ABB" w:rsidRDefault="004D15CD" w:rsidP="004D15CD">
      <w:pPr>
        <w:pStyle w:val="FSCDraftingitem"/>
        <w:rPr>
          <w:color w:val="000000" w:themeColor="text1"/>
        </w:rPr>
      </w:pPr>
      <w:r w:rsidRPr="00DA1ABB">
        <w:rPr>
          <w:color w:val="000000" w:themeColor="text1"/>
        </w:rPr>
        <w:t xml:space="preserve">This instrument is the </w:t>
      </w:r>
      <w:r w:rsidRPr="00DA1ABB">
        <w:rPr>
          <w:i/>
          <w:color w:val="000000" w:themeColor="text1"/>
        </w:rPr>
        <w:t xml:space="preserve">Food Standards (Application A1128 – </w:t>
      </w:r>
      <w:r w:rsidRPr="00DA1ABB">
        <w:rPr>
          <w:bCs/>
          <w:i/>
          <w:color w:val="000000" w:themeColor="text1"/>
        </w:rPr>
        <w:t>Food derived from reduced Acrylamide Potential &amp; Browning Potato Line E12</w:t>
      </w:r>
      <w:r w:rsidRPr="00DA1ABB">
        <w:rPr>
          <w:i/>
          <w:color w:val="000000" w:themeColor="text1"/>
        </w:rPr>
        <w:t>) Variation</w:t>
      </w:r>
      <w:r w:rsidRPr="00DA1ABB">
        <w:rPr>
          <w:color w:val="000000" w:themeColor="text1"/>
        </w:rPr>
        <w:t>.</w:t>
      </w:r>
    </w:p>
    <w:p w14:paraId="1C985512" w14:textId="0A5422A9" w:rsidR="004D15CD" w:rsidRPr="00DA1ABB" w:rsidRDefault="007D7B06" w:rsidP="004D15CD">
      <w:pPr>
        <w:pStyle w:val="FSCDraftingitemheading"/>
        <w:rPr>
          <w:color w:val="000000" w:themeColor="text1"/>
        </w:rPr>
      </w:pPr>
      <w:r>
        <w:rPr>
          <w:color w:val="000000" w:themeColor="text1"/>
        </w:rPr>
        <w:t>2</w:t>
      </w:r>
      <w:r>
        <w:rPr>
          <w:color w:val="000000" w:themeColor="text1"/>
        </w:rPr>
        <w:tab/>
        <w:t>Variation to a s</w:t>
      </w:r>
      <w:r w:rsidR="004D15CD" w:rsidRPr="00DA1ABB">
        <w:rPr>
          <w:color w:val="000000" w:themeColor="text1"/>
        </w:rPr>
        <w:t xml:space="preserve">tandard in the </w:t>
      </w:r>
      <w:r w:rsidR="004D15CD" w:rsidRPr="00DA1ABB">
        <w:rPr>
          <w:i/>
          <w:color w:val="000000" w:themeColor="text1"/>
        </w:rPr>
        <w:t>Australia New Zealand Food Standards Code</w:t>
      </w:r>
    </w:p>
    <w:p w14:paraId="1C985513" w14:textId="325973A9" w:rsidR="004D15CD" w:rsidRPr="00DA1ABB" w:rsidRDefault="004D15CD" w:rsidP="004D15CD">
      <w:pPr>
        <w:pStyle w:val="FSCDraftingitem"/>
        <w:rPr>
          <w:color w:val="000000" w:themeColor="text1"/>
        </w:rPr>
      </w:pPr>
      <w:r w:rsidRPr="00DA1ABB">
        <w:rPr>
          <w:color w:val="000000" w:themeColor="text1"/>
        </w:rPr>
        <w:t>The Schedule varies a S</w:t>
      </w:r>
      <w:r w:rsidR="007D7B06">
        <w:rPr>
          <w:color w:val="000000" w:themeColor="text1"/>
        </w:rPr>
        <w:t>chedule</w:t>
      </w:r>
      <w:r w:rsidRPr="00DA1ABB">
        <w:rPr>
          <w:color w:val="000000" w:themeColor="text1"/>
        </w:rPr>
        <w:t xml:space="preserve"> in the </w:t>
      </w:r>
      <w:r w:rsidRPr="00DA1ABB">
        <w:rPr>
          <w:i/>
          <w:color w:val="000000" w:themeColor="text1"/>
        </w:rPr>
        <w:t>Australia New Zealand Food Standards Code</w:t>
      </w:r>
      <w:r w:rsidRPr="00DA1ABB">
        <w:rPr>
          <w:color w:val="000000" w:themeColor="text1"/>
        </w:rPr>
        <w:t>.</w:t>
      </w:r>
    </w:p>
    <w:p w14:paraId="1C985514" w14:textId="77777777" w:rsidR="004D15CD" w:rsidRPr="00DA1ABB" w:rsidRDefault="004D15CD" w:rsidP="004D15CD">
      <w:pPr>
        <w:pStyle w:val="FSCDraftingitemheading"/>
        <w:rPr>
          <w:color w:val="000000" w:themeColor="text1"/>
        </w:rPr>
      </w:pPr>
      <w:r w:rsidRPr="00DA1ABB">
        <w:rPr>
          <w:color w:val="000000" w:themeColor="text1"/>
        </w:rPr>
        <w:t>3</w:t>
      </w:r>
      <w:r w:rsidRPr="00DA1ABB">
        <w:rPr>
          <w:color w:val="000000" w:themeColor="text1"/>
        </w:rPr>
        <w:tab/>
        <w:t>Commencement</w:t>
      </w:r>
    </w:p>
    <w:p w14:paraId="1C985515" w14:textId="77777777" w:rsidR="004D15CD" w:rsidRPr="00DA1ABB" w:rsidRDefault="004D15CD" w:rsidP="004D15CD">
      <w:pPr>
        <w:pStyle w:val="FSCDraftingitem"/>
        <w:rPr>
          <w:color w:val="000000" w:themeColor="text1"/>
        </w:rPr>
      </w:pPr>
      <w:r w:rsidRPr="00DA1ABB">
        <w:rPr>
          <w:color w:val="000000" w:themeColor="text1"/>
        </w:rPr>
        <w:t>The variation commences on the date of gazettal.</w:t>
      </w:r>
    </w:p>
    <w:p w14:paraId="1C985516" w14:textId="77777777" w:rsidR="004D15CD" w:rsidRPr="00DA1ABB" w:rsidRDefault="004D15CD" w:rsidP="004D15CD">
      <w:pPr>
        <w:pStyle w:val="FSCDraftingitemheading"/>
        <w:jc w:val="center"/>
        <w:rPr>
          <w:color w:val="000000" w:themeColor="text1"/>
        </w:rPr>
      </w:pPr>
      <w:r w:rsidRPr="00DA1ABB">
        <w:rPr>
          <w:color w:val="000000" w:themeColor="text1"/>
        </w:rPr>
        <w:t>Schedule</w:t>
      </w:r>
    </w:p>
    <w:p w14:paraId="1C985517" w14:textId="77777777" w:rsidR="004D15CD" w:rsidRPr="00DA1ABB" w:rsidRDefault="004D15CD" w:rsidP="004D15CD">
      <w:pPr>
        <w:pStyle w:val="FSCDraftingitem"/>
        <w:rPr>
          <w:color w:val="000000" w:themeColor="text1"/>
        </w:rPr>
      </w:pPr>
      <w:r w:rsidRPr="00DA1ABB">
        <w:rPr>
          <w:b/>
          <w:color w:val="000000" w:themeColor="text1"/>
        </w:rPr>
        <w:t>[1]</w:t>
      </w:r>
      <w:r w:rsidRPr="00DA1ABB">
        <w:rPr>
          <w:b/>
          <w:color w:val="000000" w:themeColor="text1"/>
        </w:rPr>
        <w:tab/>
        <w:t>Schedule 26</w:t>
      </w:r>
      <w:r w:rsidRPr="00DA1ABB">
        <w:rPr>
          <w:color w:val="000000" w:themeColor="text1"/>
        </w:rPr>
        <w:t xml:space="preserve"> is varied by inserting in the table to subsection S26—3(4) in alphabetical order under item 5</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DA1ABB" w:rsidRPr="00DA1ABB" w14:paraId="1C98551B" w14:textId="77777777" w:rsidTr="000630D7">
        <w:trPr>
          <w:cantSplit/>
        </w:trPr>
        <w:tc>
          <w:tcPr>
            <w:tcW w:w="903" w:type="dxa"/>
          </w:tcPr>
          <w:p w14:paraId="1C985518" w14:textId="77777777" w:rsidR="004D15CD" w:rsidRPr="00DA1ABB" w:rsidRDefault="004D15CD" w:rsidP="000630D7">
            <w:pPr>
              <w:pStyle w:val="FSCtblPara"/>
              <w:rPr>
                <w:color w:val="000000" w:themeColor="text1"/>
              </w:rPr>
            </w:pPr>
          </w:p>
        </w:tc>
        <w:tc>
          <w:tcPr>
            <w:tcW w:w="1190" w:type="dxa"/>
          </w:tcPr>
          <w:p w14:paraId="1C985519" w14:textId="77777777" w:rsidR="004D15CD" w:rsidRPr="00DA1ABB" w:rsidRDefault="004D15CD" w:rsidP="000630D7">
            <w:pPr>
              <w:pStyle w:val="FSCtblPara"/>
              <w:rPr>
                <w:color w:val="000000" w:themeColor="text1"/>
              </w:rPr>
            </w:pPr>
          </w:p>
        </w:tc>
        <w:tc>
          <w:tcPr>
            <w:tcW w:w="6979" w:type="dxa"/>
          </w:tcPr>
          <w:p w14:paraId="1C98551A" w14:textId="79808FC2" w:rsidR="004D15CD" w:rsidRPr="00DA1ABB" w:rsidRDefault="004D15CD" w:rsidP="004D15CD">
            <w:pPr>
              <w:pStyle w:val="FSCtblPara"/>
              <w:rPr>
                <w:color w:val="000000" w:themeColor="text1"/>
              </w:rPr>
            </w:pPr>
            <w:r w:rsidRPr="00DA1ABB">
              <w:rPr>
                <w:color w:val="000000" w:themeColor="text1"/>
              </w:rPr>
              <w:t xml:space="preserve">(d) </w:t>
            </w:r>
            <w:r w:rsidRPr="00DA1ABB">
              <w:rPr>
                <w:color w:val="000000" w:themeColor="text1"/>
              </w:rPr>
              <w:tab/>
            </w:r>
            <w:r w:rsidR="00DA1ABB" w:rsidRPr="00DA1ABB">
              <w:rPr>
                <w:bCs/>
                <w:color w:val="000000" w:themeColor="text1"/>
              </w:rPr>
              <w:t>reduced acrylamide potential and reduced</w:t>
            </w:r>
            <w:r w:rsidRPr="00DA1ABB">
              <w:rPr>
                <w:bCs/>
                <w:color w:val="000000" w:themeColor="text1"/>
              </w:rPr>
              <w:t xml:space="preserve"> browning</w:t>
            </w:r>
            <w:r w:rsidR="00DA1ABB" w:rsidRPr="00DA1ABB">
              <w:rPr>
                <w:color w:val="000000" w:themeColor="text1"/>
              </w:rPr>
              <w:t xml:space="preserve"> potato line E</w:t>
            </w:r>
            <w:r w:rsidRPr="00DA1ABB">
              <w:rPr>
                <w:color w:val="000000" w:themeColor="text1"/>
              </w:rPr>
              <w:t>12</w:t>
            </w:r>
          </w:p>
        </w:tc>
      </w:tr>
    </w:tbl>
    <w:p w14:paraId="1C98551E" w14:textId="77777777" w:rsidR="00296F74" w:rsidRPr="00296F74" w:rsidRDefault="00296F74" w:rsidP="00296F74">
      <w:r w:rsidRPr="00296F74">
        <w:br w:type="page"/>
      </w:r>
    </w:p>
    <w:p w14:paraId="1C98551F" w14:textId="77777777" w:rsidR="00AB0275" w:rsidRPr="001E0CD5" w:rsidRDefault="002C4A91" w:rsidP="00AB0275">
      <w:pPr>
        <w:pStyle w:val="Heading2"/>
        <w:ind w:left="0" w:firstLine="0"/>
        <w:rPr>
          <w:color w:val="000000" w:themeColor="text1"/>
        </w:rPr>
      </w:pPr>
      <w:bookmarkStart w:id="99" w:name="_Toc454376578"/>
      <w:r w:rsidRPr="001E0CD5">
        <w:rPr>
          <w:color w:val="000000" w:themeColor="text1"/>
        </w:rPr>
        <w:lastRenderedPageBreak/>
        <w:t xml:space="preserve">Attachment B – </w:t>
      </w:r>
      <w:r w:rsidR="00AB0275" w:rsidRPr="001E0CD5">
        <w:rPr>
          <w:color w:val="000000" w:themeColor="text1"/>
        </w:rPr>
        <w:t>Draft Explanatory Statement</w:t>
      </w:r>
      <w:bookmarkEnd w:id="99"/>
    </w:p>
    <w:p w14:paraId="1C985520" w14:textId="77777777" w:rsidR="00AB0275" w:rsidRPr="001E0CD5" w:rsidRDefault="00AB0275" w:rsidP="00AB0275">
      <w:pPr>
        <w:rPr>
          <w:b/>
          <w:color w:val="000000" w:themeColor="text1"/>
          <w:lang w:val="en-AU" w:eastAsia="en-GB" w:bidi="ar-SA"/>
        </w:rPr>
      </w:pPr>
      <w:r w:rsidRPr="001E0CD5">
        <w:rPr>
          <w:b/>
          <w:color w:val="000000" w:themeColor="text1"/>
          <w:lang w:val="en-AU" w:eastAsia="en-GB" w:bidi="ar-SA"/>
        </w:rPr>
        <w:t>1.</w:t>
      </w:r>
      <w:r w:rsidRPr="001E0CD5">
        <w:rPr>
          <w:b/>
          <w:color w:val="000000" w:themeColor="text1"/>
          <w:lang w:val="en-AU" w:eastAsia="en-GB" w:bidi="ar-SA"/>
        </w:rPr>
        <w:tab/>
        <w:t>Authority</w:t>
      </w:r>
    </w:p>
    <w:p w14:paraId="1C985521" w14:textId="77777777" w:rsidR="00AB0275" w:rsidRPr="001E0CD5" w:rsidRDefault="00AB0275" w:rsidP="00AB0275">
      <w:pPr>
        <w:rPr>
          <w:color w:val="000000" w:themeColor="text1"/>
          <w:lang w:val="en-AU" w:eastAsia="en-GB" w:bidi="ar-SA"/>
        </w:rPr>
      </w:pPr>
    </w:p>
    <w:p w14:paraId="1C985522" w14:textId="77777777" w:rsidR="00AB0275" w:rsidRPr="001E0CD5" w:rsidRDefault="00AB0275" w:rsidP="00AB0275">
      <w:pPr>
        <w:widowControl/>
        <w:autoSpaceDE w:val="0"/>
        <w:autoSpaceDN w:val="0"/>
        <w:adjustRightInd w:val="0"/>
        <w:rPr>
          <w:rFonts w:eastAsia="Calibri" w:cs="Arial"/>
          <w:bCs/>
          <w:color w:val="000000" w:themeColor="text1"/>
          <w:szCs w:val="22"/>
          <w:lang w:val="en-AU" w:bidi="ar-SA"/>
        </w:rPr>
      </w:pPr>
      <w:r w:rsidRPr="001E0CD5">
        <w:rPr>
          <w:rFonts w:eastAsia="Calibri" w:cs="Arial"/>
          <w:bCs/>
          <w:color w:val="000000" w:themeColor="text1"/>
          <w:szCs w:val="22"/>
          <w:lang w:val="en-AU" w:bidi="ar-SA"/>
        </w:rPr>
        <w:t xml:space="preserve">Section 13 of the </w:t>
      </w:r>
      <w:r w:rsidRPr="001E0CD5">
        <w:rPr>
          <w:rFonts w:eastAsia="Calibri" w:cs="Arial"/>
          <w:bCs/>
          <w:i/>
          <w:color w:val="000000" w:themeColor="text1"/>
          <w:szCs w:val="22"/>
          <w:lang w:val="en-AU" w:bidi="ar-SA"/>
        </w:rPr>
        <w:t>Food Standards Australia New Zealand Act 1991</w:t>
      </w:r>
      <w:r w:rsidRPr="001E0CD5">
        <w:rPr>
          <w:rFonts w:eastAsia="Calibri" w:cs="Arial"/>
          <w:bCs/>
          <w:color w:val="000000" w:themeColor="text1"/>
          <w:szCs w:val="22"/>
          <w:lang w:val="en-AU" w:bidi="ar-SA"/>
        </w:rPr>
        <w:t xml:space="preserve"> (the FSANZ Act) provides that the functions of Food Standards Australia New Zealand (the Authority) include the development of standards and variations of standards for inclusion in the </w:t>
      </w:r>
      <w:r w:rsidRPr="001E0CD5">
        <w:rPr>
          <w:rFonts w:eastAsia="Calibri" w:cs="Arial"/>
          <w:bCs/>
          <w:i/>
          <w:color w:val="000000" w:themeColor="text1"/>
          <w:szCs w:val="22"/>
          <w:lang w:val="en-AU" w:bidi="ar-SA"/>
        </w:rPr>
        <w:t>Australia New Zealand Food Standards Code</w:t>
      </w:r>
      <w:r w:rsidRPr="001E0CD5">
        <w:rPr>
          <w:rFonts w:eastAsia="Calibri" w:cs="Arial"/>
          <w:bCs/>
          <w:color w:val="000000" w:themeColor="text1"/>
          <w:szCs w:val="22"/>
          <w:lang w:val="en-AU" w:bidi="ar-SA"/>
        </w:rPr>
        <w:t xml:space="preserve"> (the Code).</w:t>
      </w:r>
    </w:p>
    <w:p w14:paraId="1C985523" w14:textId="77777777" w:rsidR="00AB0275" w:rsidRPr="001E0CD5" w:rsidRDefault="00AB0275" w:rsidP="00AB0275">
      <w:pPr>
        <w:widowControl/>
        <w:autoSpaceDE w:val="0"/>
        <w:autoSpaceDN w:val="0"/>
        <w:adjustRightInd w:val="0"/>
        <w:rPr>
          <w:rFonts w:eastAsia="Calibri" w:cs="Arial"/>
          <w:bCs/>
          <w:color w:val="000000" w:themeColor="text1"/>
          <w:szCs w:val="22"/>
          <w:lang w:val="en-AU" w:bidi="ar-SA"/>
        </w:rPr>
      </w:pPr>
    </w:p>
    <w:p w14:paraId="1C985524" w14:textId="77777777" w:rsidR="00AB0275" w:rsidRPr="001E0CD5" w:rsidRDefault="00AB0275" w:rsidP="00AB0275">
      <w:pPr>
        <w:widowControl/>
        <w:autoSpaceDE w:val="0"/>
        <w:autoSpaceDN w:val="0"/>
        <w:adjustRightInd w:val="0"/>
        <w:rPr>
          <w:rFonts w:eastAsia="Calibri" w:cs="Arial"/>
          <w:bCs/>
          <w:color w:val="000000" w:themeColor="text1"/>
          <w:szCs w:val="22"/>
          <w:lang w:val="en-AU" w:bidi="ar-SA"/>
        </w:rPr>
      </w:pPr>
      <w:r w:rsidRPr="001E0CD5">
        <w:rPr>
          <w:rFonts w:eastAsia="Calibri" w:cs="Arial"/>
          <w:bCs/>
          <w:color w:val="000000" w:themeColor="text1"/>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C985525" w14:textId="77777777" w:rsidR="00AB0275" w:rsidRPr="001E0CD5" w:rsidRDefault="00AB0275" w:rsidP="00AB0275">
      <w:pPr>
        <w:widowControl/>
        <w:autoSpaceDE w:val="0"/>
        <w:autoSpaceDN w:val="0"/>
        <w:adjustRightInd w:val="0"/>
        <w:rPr>
          <w:rFonts w:eastAsia="Calibri" w:cs="Arial"/>
          <w:bCs/>
          <w:color w:val="000000" w:themeColor="text1"/>
          <w:szCs w:val="22"/>
          <w:lang w:val="en-AU" w:bidi="ar-SA"/>
        </w:rPr>
      </w:pPr>
    </w:p>
    <w:p w14:paraId="1C985526" w14:textId="77777777" w:rsidR="00AB0275" w:rsidRPr="001E0CD5" w:rsidRDefault="00AB0275" w:rsidP="00AB0275">
      <w:pPr>
        <w:widowControl/>
        <w:autoSpaceDE w:val="0"/>
        <w:autoSpaceDN w:val="0"/>
        <w:adjustRightInd w:val="0"/>
        <w:rPr>
          <w:rFonts w:eastAsia="Calibri" w:cs="Arial"/>
          <w:bCs/>
          <w:color w:val="000000" w:themeColor="text1"/>
          <w:szCs w:val="22"/>
          <w:lang w:val="en-AU" w:bidi="ar-SA"/>
        </w:rPr>
      </w:pPr>
      <w:r w:rsidRPr="001E0CD5">
        <w:rPr>
          <w:rFonts w:eastAsia="Calibri" w:cs="Arial"/>
          <w:bCs/>
          <w:color w:val="000000" w:themeColor="text1"/>
          <w:szCs w:val="22"/>
          <w:lang w:val="en-AU" w:bidi="ar-SA"/>
        </w:rPr>
        <w:t xml:space="preserve">FSANZ accepted Application </w:t>
      </w:r>
      <w:r w:rsidR="00DF7A58" w:rsidRPr="001E0CD5">
        <w:rPr>
          <w:rFonts w:eastAsia="Calibri" w:cs="Arial"/>
          <w:bCs/>
          <w:color w:val="000000" w:themeColor="text1"/>
          <w:szCs w:val="22"/>
          <w:lang w:val="en-AU" w:bidi="ar-SA"/>
        </w:rPr>
        <w:t>A1128</w:t>
      </w:r>
      <w:r w:rsidRPr="001E0CD5">
        <w:rPr>
          <w:rFonts w:eastAsia="Calibri" w:cs="Arial"/>
          <w:bCs/>
          <w:color w:val="000000" w:themeColor="text1"/>
          <w:szCs w:val="22"/>
          <w:lang w:val="en-AU" w:bidi="ar-SA"/>
        </w:rPr>
        <w:t xml:space="preserve"> which seeks </w:t>
      </w:r>
      <w:r w:rsidR="00DF7A58" w:rsidRPr="001E0CD5">
        <w:rPr>
          <w:rFonts w:eastAsia="Calibri" w:cs="Arial"/>
          <w:bCs/>
          <w:color w:val="000000" w:themeColor="text1"/>
          <w:szCs w:val="22"/>
          <w:lang w:bidi="ar-SA"/>
        </w:rPr>
        <w:t>approval for food derived from a genetically modified potato line, E12</w:t>
      </w:r>
      <w:r w:rsidR="00E349B8" w:rsidRPr="001E0CD5">
        <w:rPr>
          <w:rFonts w:eastAsia="Calibri" w:cs="Arial"/>
          <w:bCs/>
          <w:color w:val="000000" w:themeColor="text1"/>
          <w:szCs w:val="22"/>
          <w:lang w:bidi="ar-SA"/>
        </w:rPr>
        <w:t>,</w:t>
      </w:r>
      <w:r w:rsidR="00DF7A58" w:rsidRPr="001E0CD5">
        <w:rPr>
          <w:rFonts w:eastAsia="Calibri" w:cs="Arial"/>
          <w:bCs/>
          <w:color w:val="000000" w:themeColor="text1"/>
          <w:szCs w:val="22"/>
          <w:lang w:bidi="ar-SA"/>
        </w:rPr>
        <w:t xml:space="preserve"> which has reduced acrylamide potential and reduced browning (blackspot bruise). </w:t>
      </w:r>
      <w:r w:rsidRPr="001E0CD5">
        <w:rPr>
          <w:rFonts w:eastAsia="Calibri" w:cs="Arial"/>
          <w:bCs/>
          <w:color w:val="000000" w:themeColor="text1"/>
          <w:szCs w:val="22"/>
          <w:lang w:val="en-AU" w:bidi="ar-SA"/>
        </w:rPr>
        <w:t xml:space="preserve">The Authority considered the Application in accordance with Division 1 of Part 3 and has </w:t>
      </w:r>
      <w:r w:rsidR="00CA3C65" w:rsidRPr="001E0CD5">
        <w:rPr>
          <w:rFonts w:eastAsia="Calibri" w:cs="Arial"/>
          <w:bCs/>
          <w:color w:val="000000" w:themeColor="text1"/>
          <w:szCs w:val="22"/>
          <w:lang w:val="en-AU" w:bidi="ar-SA"/>
        </w:rPr>
        <w:t>prepared</w:t>
      </w:r>
      <w:r w:rsidR="00DF7A58" w:rsidRPr="001E0CD5">
        <w:rPr>
          <w:rFonts w:eastAsia="Calibri" w:cs="Arial"/>
          <w:bCs/>
          <w:color w:val="000000" w:themeColor="text1"/>
          <w:szCs w:val="22"/>
          <w:lang w:val="en-AU" w:bidi="ar-SA"/>
        </w:rPr>
        <w:t xml:space="preserve"> a draft variation</w:t>
      </w:r>
      <w:r w:rsidRPr="001E0CD5">
        <w:rPr>
          <w:rFonts w:eastAsia="Calibri" w:cs="Arial"/>
          <w:bCs/>
          <w:color w:val="000000" w:themeColor="text1"/>
          <w:szCs w:val="22"/>
          <w:lang w:val="en-AU" w:bidi="ar-SA"/>
        </w:rPr>
        <w:t xml:space="preserve">. </w:t>
      </w:r>
    </w:p>
    <w:p w14:paraId="1C985527" w14:textId="77777777" w:rsidR="00AB0275" w:rsidRPr="001E0CD5" w:rsidRDefault="00AB0275" w:rsidP="00AB0275">
      <w:pPr>
        <w:widowControl/>
        <w:autoSpaceDE w:val="0"/>
        <w:autoSpaceDN w:val="0"/>
        <w:adjustRightInd w:val="0"/>
        <w:rPr>
          <w:rFonts w:eastAsia="Calibri" w:cs="Arial"/>
          <w:bCs/>
          <w:color w:val="000000" w:themeColor="text1"/>
          <w:szCs w:val="22"/>
          <w:lang w:val="en-AU" w:bidi="ar-SA"/>
        </w:rPr>
      </w:pPr>
    </w:p>
    <w:p w14:paraId="1C985528" w14:textId="77777777" w:rsidR="00AB0275" w:rsidRPr="001E0CD5" w:rsidRDefault="00AB0275" w:rsidP="00AB0275">
      <w:pPr>
        <w:rPr>
          <w:b/>
          <w:color w:val="000000" w:themeColor="text1"/>
          <w:lang w:val="en-AU" w:eastAsia="en-GB" w:bidi="ar-SA"/>
        </w:rPr>
      </w:pPr>
      <w:r w:rsidRPr="001E0CD5">
        <w:rPr>
          <w:b/>
          <w:color w:val="000000" w:themeColor="text1"/>
          <w:lang w:val="en-AU" w:eastAsia="en-GB" w:bidi="ar-SA"/>
        </w:rPr>
        <w:t>2.</w:t>
      </w:r>
      <w:r w:rsidRPr="001E0CD5">
        <w:rPr>
          <w:b/>
          <w:color w:val="000000" w:themeColor="text1"/>
          <w:lang w:val="en-AU" w:eastAsia="en-GB" w:bidi="ar-SA"/>
        </w:rPr>
        <w:tab/>
        <w:t xml:space="preserve">Purpose </w:t>
      </w:r>
    </w:p>
    <w:p w14:paraId="1C985529" w14:textId="77777777" w:rsidR="00AB0275" w:rsidRPr="001E0CD5" w:rsidRDefault="00AB0275" w:rsidP="00AB0275">
      <w:pPr>
        <w:rPr>
          <w:color w:val="000000" w:themeColor="text1"/>
          <w:lang w:val="en-AU" w:eastAsia="en-GB" w:bidi="ar-SA"/>
        </w:rPr>
      </w:pPr>
    </w:p>
    <w:p w14:paraId="1C98552A" w14:textId="77777777" w:rsidR="00AB0275" w:rsidRPr="001E0CD5" w:rsidRDefault="00E349B8" w:rsidP="00AB0275">
      <w:pPr>
        <w:rPr>
          <w:color w:val="000000" w:themeColor="text1"/>
          <w:lang w:eastAsia="en-GB" w:bidi="ar-SA"/>
        </w:rPr>
      </w:pPr>
      <w:r w:rsidRPr="001E0CD5">
        <w:rPr>
          <w:color w:val="000000" w:themeColor="text1"/>
          <w:lang w:eastAsia="en-GB" w:bidi="ar-SA"/>
        </w:rPr>
        <w:t>The variation inserts a reference to reduced acrylamide potential and reduced browning line E12 into Schedule 26 of the Code in order to permit the sale, or use in food, of food derived from that potato line.</w:t>
      </w:r>
    </w:p>
    <w:p w14:paraId="1C98552B" w14:textId="77777777" w:rsidR="00E349B8" w:rsidRPr="001E0CD5" w:rsidRDefault="00E349B8" w:rsidP="00AB0275">
      <w:pPr>
        <w:rPr>
          <w:color w:val="000000" w:themeColor="text1"/>
          <w:lang w:val="en-AU" w:eastAsia="en-GB" w:bidi="ar-SA"/>
        </w:rPr>
      </w:pPr>
    </w:p>
    <w:p w14:paraId="1C98552C" w14:textId="77777777" w:rsidR="00AB0275" w:rsidRPr="001E0CD5" w:rsidRDefault="00AB0275" w:rsidP="00AB0275">
      <w:pPr>
        <w:rPr>
          <w:b/>
          <w:color w:val="000000" w:themeColor="text1"/>
          <w:lang w:val="en-AU" w:eastAsia="en-GB" w:bidi="ar-SA"/>
        </w:rPr>
      </w:pPr>
      <w:r w:rsidRPr="001E0CD5">
        <w:rPr>
          <w:b/>
          <w:color w:val="000000" w:themeColor="text1"/>
          <w:lang w:val="en-AU" w:eastAsia="en-GB" w:bidi="ar-SA"/>
        </w:rPr>
        <w:t>3.</w:t>
      </w:r>
      <w:r w:rsidRPr="001E0CD5">
        <w:rPr>
          <w:b/>
          <w:color w:val="000000" w:themeColor="text1"/>
          <w:lang w:val="en-AU" w:eastAsia="en-GB" w:bidi="ar-SA"/>
        </w:rPr>
        <w:tab/>
        <w:t>Documents incorporated by reference</w:t>
      </w:r>
    </w:p>
    <w:p w14:paraId="1C98552D" w14:textId="77777777" w:rsidR="00AB0275" w:rsidRPr="001E0CD5" w:rsidRDefault="00AB0275" w:rsidP="00AB0275">
      <w:pPr>
        <w:rPr>
          <w:color w:val="000000" w:themeColor="text1"/>
          <w:lang w:val="en-AU" w:eastAsia="en-GB" w:bidi="ar-SA"/>
        </w:rPr>
      </w:pPr>
    </w:p>
    <w:p w14:paraId="1C98552E" w14:textId="77777777" w:rsidR="00AB0275" w:rsidRPr="001E0CD5" w:rsidRDefault="00AB0275" w:rsidP="00AB0275">
      <w:pPr>
        <w:widowControl/>
        <w:autoSpaceDE w:val="0"/>
        <w:autoSpaceDN w:val="0"/>
        <w:adjustRightInd w:val="0"/>
        <w:rPr>
          <w:rFonts w:eastAsia="Calibri" w:cs="Arial"/>
          <w:bCs/>
          <w:color w:val="000000" w:themeColor="text1"/>
          <w:szCs w:val="22"/>
          <w:lang w:val="en-AU" w:bidi="ar-SA"/>
        </w:rPr>
      </w:pPr>
      <w:r w:rsidRPr="001E0CD5">
        <w:rPr>
          <w:rFonts w:eastAsia="Calibri" w:cs="Arial"/>
          <w:bCs/>
          <w:color w:val="000000" w:themeColor="text1"/>
          <w:szCs w:val="22"/>
          <w:lang w:val="en-AU" w:bidi="ar-SA"/>
        </w:rPr>
        <w:t>The variations to food regulatory measures do not incorporate any documents by reference.</w:t>
      </w:r>
    </w:p>
    <w:p w14:paraId="1C98552F" w14:textId="77777777" w:rsidR="00AB0275" w:rsidRPr="001E0CD5" w:rsidRDefault="00AB0275" w:rsidP="00AB0275">
      <w:pPr>
        <w:rPr>
          <w:color w:val="000000" w:themeColor="text1"/>
          <w:lang w:val="en-AU" w:eastAsia="en-GB" w:bidi="ar-SA"/>
        </w:rPr>
      </w:pPr>
    </w:p>
    <w:p w14:paraId="1C985530" w14:textId="77777777" w:rsidR="00AB0275" w:rsidRPr="001E0CD5" w:rsidRDefault="00AB0275" w:rsidP="00AB0275">
      <w:pPr>
        <w:rPr>
          <w:b/>
          <w:color w:val="000000" w:themeColor="text1"/>
          <w:lang w:val="en-AU" w:eastAsia="en-GB" w:bidi="ar-SA"/>
        </w:rPr>
      </w:pPr>
      <w:r w:rsidRPr="001E0CD5">
        <w:rPr>
          <w:b/>
          <w:color w:val="000000" w:themeColor="text1"/>
          <w:lang w:val="en-AU" w:eastAsia="en-GB" w:bidi="ar-SA"/>
        </w:rPr>
        <w:t>4.</w:t>
      </w:r>
      <w:r w:rsidRPr="001E0CD5">
        <w:rPr>
          <w:b/>
          <w:color w:val="000000" w:themeColor="text1"/>
          <w:lang w:val="en-AU" w:eastAsia="en-GB" w:bidi="ar-SA"/>
        </w:rPr>
        <w:tab/>
        <w:t>Consultation</w:t>
      </w:r>
    </w:p>
    <w:p w14:paraId="1C985531" w14:textId="77777777" w:rsidR="00AB0275" w:rsidRPr="001E0CD5" w:rsidRDefault="00AB0275" w:rsidP="00AB0275">
      <w:pPr>
        <w:rPr>
          <w:color w:val="000000" w:themeColor="text1"/>
          <w:lang w:val="en-AU" w:eastAsia="en-GB" w:bidi="ar-SA"/>
        </w:rPr>
      </w:pPr>
    </w:p>
    <w:p w14:paraId="1C985532" w14:textId="095C7E32" w:rsidR="00AB0275" w:rsidRPr="001E0CD5" w:rsidRDefault="00AB0275" w:rsidP="00AB0275">
      <w:pPr>
        <w:rPr>
          <w:color w:val="000000" w:themeColor="text1"/>
          <w:lang w:val="en-AU"/>
        </w:rPr>
      </w:pPr>
      <w:r w:rsidRPr="001E0CD5">
        <w:rPr>
          <w:color w:val="000000" w:themeColor="text1"/>
          <w:szCs w:val="22"/>
        </w:rPr>
        <w:t xml:space="preserve">In accordance with the procedure in Division </w:t>
      </w:r>
      <w:r w:rsidR="00E349B8" w:rsidRPr="001E0CD5">
        <w:rPr>
          <w:color w:val="000000" w:themeColor="text1"/>
          <w:szCs w:val="22"/>
        </w:rPr>
        <w:t>1</w:t>
      </w:r>
      <w:r w:rsidRPr="001E0CD5">
        <w:rPr>
          <w:color w:val="000000" w:themeColor="text1"/>
          <w:szCs w:val="22"/>
        </w:rPr>
        <w:t xml:space="preserve"> of Part </w:t>
      </w:r>
      <w:r w:rsidR="00E349B8" w:rsidRPr="001E0CD5">
        <w:rPr>
          <w:color w:val="000000" w:themeColor="text1"/>
          <w:szCs w:val="22"/>
        </w:rPr>
        <w:t>3</w:t>
      </w:r>
      <w:r w:rsidRPr="001E0CD5">
        <w:rPr>
          <w:color w:val="000000" w:themeColor="text1"/>
          <w:szCs w:val="22"/>
        </w:rPr>
        <w:t xml:space="preserve"> of the FSANZ Act, </w:t>
      </w:r>
      <w:r w:rsidRPr="001E0CD5">
        <w:rPr>
          <w:rFonts w:eastAsia="Calibri" w:cs="Arial"/>
          <w:bCs/>
          <w:color w:val="000000" w:themeColor="text1"/>
          <w:szCs w:val="22"/>
          <w:lang w:val="en-AU" w:bidi="ar-SA"/>
        </w:rPr>
        <w:t>the Authority</w:t>
      </w:r>
      <w:r w:rsidRPr="001E0CD5">
        <w:rPr>
          <w:color w:val="000000" w:themeColor="text1"/>
          <w:szCs w:val="22"/>
        </w:rPr>
        <w:t xml:space="preserve">’s consideration of Application </w:t>
      </w:r>
      <w:r w:rsidR="00543939">
        <w:rPr>
          <w:color w:val="000000" w:themeColor="text1"/>
          <w:szCs w:val="22"/>
        </w:rPr>
        <w:t>A11</w:t>
      </w:r>
      <w:r w:rsidR="00E349B8" w:rsidRPr="001E0CD5">
        <w:rPr>
          <w:color w:val="000000" w:themeColor="text1"/>
          <w:szCs w:val="22"/>
        </w:rPr>
        <w:t>28</w:t>
      </w:r>
      <w:r w:rsidRPr="001E0CD5">
        <w:rPr>
          <w:color w:val="000000" w:themeColor="text1"/>
          <w:szCs w:val="22"/>
        </w:rPr>
        <w:t xml:space="preserve"> will include one round of public consultation following an assessment and the preparation of a draft </w:t>
      </w:r>
      <w:r w:rsidR="000D1A62" w:rsidRPr="001E0CD5">
        <w:rPr>
          <w:color w:val="000000" w:themeColor="text1"/>
          <w:szCs w:val="22"/>
        </w:rPr>
        <w:t>variation.</w:t>
      </w:r>
      <w:r w:rsidRPr="001E0CD5">
        <w:rPr>
          <w:color w:val="000000" w:themeColor="text1"/>
          <w:szCs w:val="22"/>
        </w:rPr>
        <w:t xml:space="preserve"> </w:t>
      </w:r>
    </w:p>
    <w:p w14:paraId="1C985533" w14:textId="77777777" w:rsidR="00AB0275" w:rsidRPr="001E0CD5" w:rsidRDefault="00AB0275" w:rsidP="00AB0275">
      <w:pPr>
        <w:rPr>
          <w:color w:val="000000" w:themeColor="text1"/>
        </w:rPr>
      </w:pPr>
    </w:p>
    <w:p w14:paraId="1C985534" w14:textId="77777777" w:rsidR="00AB0275" w:rsidRPr="001E0CD5" w:rsidRDefault="00AB0275" w:rsidP="000D1A62">
      <w:pPr>
        <w:widowControl/>
        <w:autoSpaceDE w:val="0"/>
        <w:autoSpaceDN w:val="0"/>
        <w:adjustRightInd w:val="0"/>
        <w:rPr>
          <w:rFonts w:eastAsia="Calibri" w:cs="Arial"/>
          <w:bCs/>
          <w:color w:val="000000" w:themeColor="text1"/>
          <w:szCs w:val="22"/>
          <w:lang w:val="en-AU" w:bidi="ar-SA"/>
        </w:rPr>
      </w:pPr>
      <w:r w:rsidRPr="001E0CD5">
        <w:rPr>
          <w:rFonts w:eastAsia="Calibri" w:cs="Arial"/>
          <w:bCs/>
          <w:color w:val="000000" w:themeColor="text1"/>
          <w:szCs w:val="22"/>
          <w:lang w:val="en-AU" w:bidi="ar-SA"/>
        </w:rPr>
        <w:t xml:space="preserve">A Regulation Impact Statement was not required because the </w:t>
      </w:r>
      <w:r w:rsidR="000D1A62" w:rsidRPr="001E0CD5">
        <w:rPr>
          <w:rFonts w:eastAsia="Calibri" w:cs="Arial"/>
          <w:bCs/>
          <w:color w:val="000000" w:themeColor="text1"/>
          <w:szCs w:val="22"/>
          <w:lang w:val="en-AU" w:bidi="ar-SA"/>
        </w:rPr>
        <w:t>sale of food derived from E12, if approved, would be voluntary and would be likely to have a minor impact on business and individuals.</w:t>
      </w:r>
    </w:p>
    <w:p w14:paraId="1C985535" w14:textId="77777777" w:rsidR="000D1A62" w:rsidRPr="001E0CD5" w:rsidRDefault="000D1A62" w:rsidP="000D1A62">
      <w:pPr>
        <w:widowControl/>
        <w:autoSpaceDE w:val="0"/>
        <w:autoSpaceDN w:val="0"/>
        <w:adjustRightInd w:val="0"/>
        <w:rPr>
          <w:rFonts w:eastAsiaTheme="minorHAnsi" w:cs="Arial"/>
          <w:b/>
          <w:bCs/>
          <w:color w:val="000000" w:themeColor="text1"/>
          <w:szCs w:val="22"/>
          <w:lang w:val="en-AU" w:bidi="ar-SA"/>
        </w:rPr>
      </w:pPr>
    </w:p>
    <w:p w14:paraId="1C985536" w14:textId="77777777" w:rsidR="00AB0275" w:rsidRPr="001E0CD5" w:rsidRDefault="00AB0275" w:rsidP="00AB0275">
      <w:pPr>
        <w:widowControl/>
        <w:rPr>
          <w:rFonts w:eastAsiaTheme="minorHAnsi" w:cs="Arial"/>
          <w:b/>
          <w:bCs/>
          <w:color w:val="000000" w:themeColor="text1"/>
          <w:szCs w:val="22"/>
          <w:lang w:val="en-AU" w:bidi="ar-SA"/>
        </w:rPr>
      </w:pPr>
      <w:r w:rsidRPr="001E0CD5">
        <w:rPr>
          <w:rFonts w:eastAsiaTheme="minorHAnsi" w:cs="Arial"/>
          <w:b/>
          <w:bCs/>
          <w:color w:val="000000" w:themeColor="text1"/>
          <w:szCs w:val="22"/>
          <w:lang w:val="en-AU" w:bidi="ar-SA"/>
        </w:rPr>
        <w:t>5.</w:t>
      </w:r>
      <w:r w:rsidRPr="001E0CD5">
        <w:rPr>
          <w:rFonts w:eastAsiaTheme="minorHAnsi" w:cs="Arial"/>
          <w:b/>
          <w:bCs/>
          <w:color w:val="000000" w:themeColor="text1"/>
          <w:szCs w:val="22"/>
          <w:lang w:val="en-AU" w:bidi="ar-SA"/>
        </w:rPr>
        <w:tab/>
        <w:t>Statement of compatibility with human rights</w:t>
      </w:r>
    </w:p>
    <w:p w14:paraId="1C985537" w14:textId="77777777" w:rsidR="00AB0275" w:rsidRPr="001E0CD5" w:rsidRDefault="00AB0275" w:rsidP="00AB0275">
      <w:pPr>
        <w:rPr>
          <w:rFonts w:eastAsiaTheme="minorHAnsi"/>
          <w:color w:val="000000" w:themeColor="text1"/>
          <w:lang w:val="en-AU" w:bidi="ar-SA"/>
        </w:rPr>
      </w:pPr>
    </w:p>
    <w:p w14:paraId="1C985538" w14:textId="77777777" w:rsidR="00AB0275" w:rsidRPr="001E0CD5" w:rsidRDefault="00AB0275" w:rsidP="00AB0275">
      <w:pPr>
        <w:rPr>
          <w:rFonts w:eastAsiaTheme="minorHAnsi"/>
          <w:color w:val="000000" w:themeColor="text1"/>
          <w:lang w:val="en-AU" w:bidi="ar-SA"/>
        </w:rPr>
      </w:pPr>
      <w:r w:rsidRPr="001E0CD5">
        <w:rPr>
          <w:rFonts w:eastAsiaTheme="minorHAnsi"/>
          <w:color w:val="000000" w:themeColor="text1"/>
          <w:lang w:val="en-AU" w:bidi="ar-SA"/>
        </w:rPr>
        <w:t>This instrument is exempt from the requirements for a statement of compatibility with human rights as it is a non-disallowable instrument under section 94 of the FSANZ Act.</w:t>
      </w:r>
    </w:p>
    <w:p w14:paraId="1C985539" w14:textId="77777777" w:rsidR="00AB0275" w:rsidRPr="001E0CD5" w:rsidRDefault="00AB0275" w:rsidP="00AB0275">
      <w:pPr>
        <w:rPr>
          <w:rFonts w:eastAsiaTheme="minorHAnsi"/>
          <w:color w:val="000000" w:themeColor="text1"/>
          <w:lang w:val="en-AU" w:bidi="ar-SA"/>
        </w:rPr>
      </w:pPr>
    </w:p>
    <w:p w14:paraId="1C98553A" w14:textId="77777777" w:rsidR="00AB0275" w:rsidRPr="001E0CD5" w:rsidRDefault="00AB0275" w:rsidP="00AB0275">
      <w:pPr>
        <w:rPr>
          <w:b/>
          <w:color w:val="000000" w:themeColor="text1"/>
          <w:lang w:val="en-AU" w:eastAsia="en-GB" w:bidi="ar-SA"/>
        </w:rPr>
      </w:pPr>
      <w:r w:rsidRPr="001E0CD5">
        <w:rPr>
          <w:b/>
          <w:color w:val="000000" w:themeColor="text1"/>
        </w:rPr>
        <w:t>6.</w:t>
      </w:r>
      <w:r w:rsidRPr="001E0CD5">
        <w:rPr>
          <w:b/>
          <w:color w:val="000000" w:themeColor="text1"/>
        </w:rPr>
        <w:tab/>
      </w:r>
      <w:r w:rsidRPr="001E0CD5">
        <w:rPr>
          <w:b/>
          <w:color w:val="000000" w:themeColor="text1"/>
          <w:lang w:val="en-AU" w:eastAsia="en-GB" w:bidi="ar-SA"/>
        </w:rPr>
        <w:t>Variation</w:t>
      </w:r>
    </w:p>
    <w:p w14:paraId="1C98553B" w14:textId="77777777" w:rsidR="00AB0275" w:rsidRPr="001E0CD5" w:rsidRDefault="00AB0275" w:rsidP="00AB0275">
      <w:pPr>
        <w:rPr>
          <w:b/>
          <w:color w:val="000000" w:themeColor="text1"/>
        </w:rPr>
      </w:pPr>
    </w:p>
    <w:p w14:paraId="1C98553C" w14:textId="097ECD31" w:rsidR="00296F74" w:rsidRPr="001E0CD5" w:rsidRDefault="00296F74" w:rsidP="00296F74">
      <w:pPr>
        <w:rPr>
          <w:color w:val="000000" w:themeColor="text1"/>
        </w:rPr>
      </w:pPr>
      <w:r w:rsidRPr="001E0CD5">
        <w:rPr>
          <w:color w:val="000000" w:themeColor="text1"/>
        </w:rPr>
        <w:t xml:space="preserve">Item [1] inserts paragraph (d) into item 5 of the table to subsection S26—3(4) of Schedule 26. The new paragraph refers to reduced acrylamide </w:t>
      </w:r>
      <w:r w:rsidR="00DA1ABB" w:rsidRPr="001E0CD5">
        <w:rPr>
          <w:color w:val="000000" w:themeColor="text1"/>
        </w:rPr>
        <w:t xml:space="preserve">potential </w:t>
      </w:r>
      <w:r w:rsidRPr="001E0CD5">
        <w:rPr>
          <w:color w:val="000000" w:themeColor="text1"/>
        </w:rPr>
        <w:t>and reduced browning potato line E12.</w:t>
      </w:r>
      <w:r w:rsidRPr="001E0CD5">
        <w:rPr>
          <w:color w:val="000000" w:themeColor="text1"/>
          <w:lang w:val="en-AU"/>
        </w:rPr>
        <w:t xml:space="preserve"> The effect of the variation is to permit </w:t>
      </w:r>
      <w:r w:rsidRPr="001E0CD5">
        <w:rPr>
          <w:color w:val="000000" w:themeColor="text1"/>
        </w:rPr>
        <w:t>the sale and use of food derived from that potato line</w:t>
      </w:r>
      <w:r w:rsidRPr="001E0CD5">
        <w:rPr>
          <w:color w:val="000000" w:themeColor="text1"/>
          <w:lang w:val="en-AU"/>
        </w:rPr>
        <w:t xml:space="preserve"> in accordance with Standard 1.5.2</w:t>
      </w:r>
      <w:r w:rsidRPr="001E0CD5">
        <w:rPr>
          <w:color w:val="000000" w:themeColor="text1"/>
        </w:rPr>
        <w:t>.</w:t>
      </w:r>
    </w:p>
    <w:p w14:paraId="1C98553D" w14:textId="77777777" w:rsidR="00AB0275" w:rsidRPr="007D40A1" w:rsidRDefault="00AB0275" w:rsidP="00AB0275">
      <w:pPr>
        <w:rPr>
          <w:color w:val="00B050"/>
        </w:rPr>
      </w:pPr>
    </w:p>
    <w:p w14:paraId="1C98553E"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E13D1" w14:textId="77777777" w:rsidR="005B3AFC" w:rsidRDefault="005B3AFC">
      <w:r>
        <w:separator/>
      </w:r>
    </w:p>
  </w:endnote>
  <w:endnote w:type="continuationSeparator" w:id="0">
    <w:p w14:paraId="15519FFA" w14:textId="77777777" w:rsidR="005B3AFC" w:rsidRDefault="005B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8554D" w14:textId="77777777" w:rsidR="00763CC3" w:rsidRDefault="00763CC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98554E" w14:textId="77777777" w:rsidR="00763CC3" w:rsidRDefault="00763C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8554F" w14:textId="77777777" w:rsidR="00763CC3" w:rsidRDefault="00763CC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2CE0">
      <w:rPr>
        <w:rStyle w:val="PageNumber"/>
        <w:noProof/>
      </w:rPr>
      <w:t>i</w:t>
    </w:r>
    <w:r>
      <w:rPr>
        <w:rStyle w:val="PageNumber"/>
      </w:rPr>
      <w:fldChar w:fldCharType="end"/>
    </w:r>
  </w:p>
  <w:p w14:paraId="1C985550" w14:textId="77777777" w:rsidR="00763CC3" w:rsidRDefault="00763CC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8E869" w14:textId="77777777" w:rsidR="00CE2CE0" w:rsidRDefault="00CE2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E4491" w14:textId="77777777" w:rsidR="005B3AFC" w:rsidRDefault="005B3AFC">
      <w:r>
        <w:separator/>
      </w:r>
    </w:p>
  </w:footnote>
  <w:footnote w:type="continuationSeparator" w:id="0">
    <w:p w14:paraId="0B8A8A91" w14:textId="77777777" w:rsidR="005B3AFC" w:rsidRDefault="005B3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FF955" w14:textId="77777777" w:rsidR="00CE2CE0" w:rsidRDefault="00CE2C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3EC50" w14:textId="77777777" w:rsidR="00CE2CE0" w:rsidRDefault="00CE2C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85551" w14:textId="77777777" w:rsidR="00763CC3" w:rsidRDefault="00763CC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DE45D0"/>
    <w:multiLevelType w:val="hybridMultilevel"/>
    <w:tmpl w:val="62BC5F66"/>
    <w:lvl w:ilvl="0" w:tplc="D5B6602E">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144655"/>
    <w:multiLevelType w:val="hybridMultilevel"/>
    <w:tmpl w:val="FFECB1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9"/>
  </w:num>
  <w:num w:numId="3">
    <w:abstractNumId w:val="0"/>
  </w:num>
  <w:num w:numId="4">
    <w:abstractNumId w:val="1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8"/>
  </w:num>
  <w:num w:numId="9">
    <w:abstractNumId w:val="3"/>
  </w:num>
  <w:num w:numId="10">
    <w:abstractNumId w:val="6"/>
  </w:num>
  <w:num w:numId="11">
    <w:abstractNumId w:val="11"/>
  </w:num>
  <w:num w:numId="12">
    <w:abstractNumId w:val="9"/>
  </w:num>
  <w:num w:numId="13">
    <w:abstractNumId w:val="5"/>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formatting="1" w:enforcement="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Libraries" w:val="&lt;ENLibraries&gt;&lt;Libraries&gt;&lt;item&gt;gm database&lt;/item&gt;&lt;/Libraries&gt;&lt;/ENLibraries&gt;"/>
  </w:docVars>
  <w:rsids>
    <w:rsidRoot w:val="005F7342"/>
    <w:rsid w:val="00001CF2"/>
    <w:rsid w:val="0000247B"/>
    <w:rsid w:val="0000340F"/>
    <w:rsid w:val="00004274"/>
    <w:rsid w:val="0000469B"/>
    <w:rsid w:val="00015586"/>
    <w:rsid w:val="00016CB6"/>
    <w:rsid w:val="000218D5"/>
    <w:rsid w:val="00022DBC"/>
    <w:rsid w:val="00034F87"/>
    <w:rsid w:val="00035FF3"/>
    <w:rsid w:val="00037CB8"/>
    <w:rsid w:val="000427B2"/>
    <w:rsid w:val="00051021"/>
    <w:rsid w:val="00051ED9"/>
    <w:rsid w:val="000564DE"/>
    <w:rsid w:val="00057181"/>
    <w:rsid w:val="000630D7"/>
    <w:rsid w:val="00064B2D"/>
    <w:rsid w:val="00065F1F"/>
    <w:rsid w:val="00072272"/>
    <w:rsid w:val="000735FD"/>
    <w:rsid w:val="0007466A"/>
    <w:rsid w:val="00076D33"/>
    <w:rsid w:val="000778D6"/>
    <w:rsid w:val="00087725"/>
    <w:rsid w:val="000877DD"/>
    <w:rsid w:val="00091CC2"/>
    <w:rsid w:val="00094BEA"/>
    <w:rsid w:val="000A27E9"/>
    <w:rsid w:val="000A3D8B"/>
    <w:rsid w:val="000A5DF8"/>
    <w:rsid w:val="000B1C40"/>
    <w:rsid w:val="000B6AF2"/>
    <w:rsid w:val="000C412C"/>
    <w:rsid w:val="000D1A62"/>
    <w:rsid w:val="000D295F"/>
    <w:rsid w:val="000D6FD4"/>
    <w:rsid w:val="000E0AE4"/>
    <w:rsid w:val="000E3DBC"/>
    <w:rsid w:val="00107E06"/>
    <w:rsid w:val="00113CE3"/>
    <w:rsid w:val="00117522"/>
    <w:rsid w:val="001346F5"/>
    <w:rsid w:val="00151550"/>
    <w:rsid w:val="001542D8"/>
    <w:rsid w:val="00176897"/>
    <w:rsid w:val="00180C41"/>
    <w:rsid w:val="00182C4C"/>
    <w:rsid w:val="00197D8D"/>
    <w:rsid w:val="001A1A75"/>
    <w:rsid w:val="001A491E"/>
    <w:rsid w:val="001A7E9A"/>
    <w:rsid w:val="001B3C22"/>
    <w:rsid w:val="001B5E6B"/>
    <w:rsid w:val="001C27A3"/>
    <w:rsid w:val="001C282C"/>
    <w:rsid w:val="001C3D2F"/>
    <w:rsid w:val="001C4019"/>
    <w:rsid w:val="001C5295"/>
    <w:rsid w:val="001D5E2B"/>
    <w:rsid w:val="001E09FA"/>
    <w:rsid w:val="001E0CD5"/>
    <w:rsid w:val="001F20F4"/>
    <w:rsid w:val="001F583E"/>
    <w:rsid w:val="001F5B9C"/>
    <w:rsid w:val="001F6652"/>
    <w:rsid w:val="001F74B2"/>
    <w:rsid w:val="00203540"/>
    <w:rsid w:val="00221D07"/>
    <w:rsid w:val="002270A2"/>
    <w:rsid w:val="002273FE"/>
    <w:rsid w:val="00227E4A"/>
    <w:rsid w:val="002432EE"/>
    <w:rsid w:val="0024582E"/>
    <w:rsid w:val="002547EF"/>
    <w:rsid w:val="00256D65"/>
    <w:rsid w:val="00261995"/>
    <w:rsid w:val="00271F00"/>
    <w:rsid w:val="00273A80"/>
    <w:rsid w:val="0027513D"/>
    <w:rsid w:val="00276026"/>
    <w:rsid w:val="002851C8"/>
    <w:rsid w:val="0029204E"/>
    <w:rsid w:val="002933AF"/>
    <w:rsid w:val="00294BAD"/>
    <w:rsid w:val="0029631C"/>
    <w:rsid w:val="00296F74"/>
    <w:rsid w:val="002A0194"/>
    <w:rsid w:val="002A5F8B"/>
    <w:rsid w:val="002A7F6C"/>
    <w:rsid w:val="002B0D8E"/>
    <w:rsid w:val="002B1519"/>
    <w:rsid w:val="002C4A91"/>
    <w:rsid w:val="002D6809"/>
    <w:rsid w:val="002D6DF0"/>
    <w:rsid w:val="002E086A"/>
    <w:rsid w:val="002F6488"/>
    <w:rsid w:val="0030279C"/>
    <w:rsid w:val="00310E84"/>
    <w:rsid w:val="00315A71"/>
    <w:rsid w:val="003213F9"/>
    <w:rsid w:val="00321E48"/>
    <w:rsid w:val="00323DBF"/>
    <w:rsid w:val="003309A8"/>
    <w:rsid w:val="00332B12"/>
    <w:rsid w:val="0033470E"/>
    <w:rsid w:val="00336711"/>
    <w:rsid w:val="00347935"/>
    <w:rsid w:val="00350DBD"/>
    <w:rsid w:val="003511FE"/>
    <w:rsid w:val="00351927"/>
    <w:rsid w:val="00351B07"/>
    <w:rsid w:val="003541B1"/>
    <w:rsid w:val="0036268A"/>
    <w:rsid w:val="00364044"/>
    <w:rsid w:val="00364841"/>
    <w:rsid w:val="00371B29"/>
    <w:rsid w:val="00372182"/>
    <w:rsid w:val="0037520F"/>
    <w:rsid w:val="0039163E"/>
    <w:rsid w:val="00391769"/>
    <w:rsid w:val="003953E1"/>
    <w:rsid w:val="003956B3"/>
    <w:rsid w:val="003A68BE"/>
    <w:rsid w:val="003A7725"/>
    <w:rsid w:val="003B3C9D"/>
    <w:rsid w:val="003B78E0"/>
    <w:rsid w:val="003C4969"/>
    <w:rsid w:val="003E41D5"/>
    <w:rsid w:val="003E46BA"/>
    <w:rsid w:val="003E6E5D"/>
    <w:rsid w:val="003E7D22"/>
    <w:rsid w:val="003F74C1"/>
    <w:rsid w:val="00405B1A"/>
    <w:rsid w:val="00406699"/>
    <w:rsid w:val="00407241"/>
    <w:rsid w:val="0040761E"/>
    <w:rsid w:val="00407DF4"/>
    <w:rsid w:val="00410C76"/>
    <w:rsid w:val="00411907"/>
    <w:rsid w:val="00413CA8"/>
    <w:rsid w:val="00417EE3"/>
    <w:rsid w:val="004207EB"/>
    <w:rsid w:val="004349FB"/>
    <w:rsid w:val="00435FA5"/>
    <w:rsid w:val="00436B8D"/>
    <w:rsid w:val="00437276"/>
    <w:rsid w:val="00446C60"/>
    <w:rsid w:val="00447E67"/>
    <w:rsid w:val="0045556F"/>
    <w:rsid w:val="00456B54"/>
    <w:rsid w:val="00464643"/>
    <w:rsid w:val="004646F8"/>
    <w:rsid w:val="00486793"/>
    <w:rsid w:val="00496F82"/>
    <w:rsid w:val="0049729B"/>
    <w:rsid w:val="004A2037"/>
    <w:rsid w:val="004A3685"/>
    <w:rsid w:val="004B18C2"/>
    <w:rsid w:val="004C2CE7"/>
    <w:rsid w:val="004D15CD"/>
    <w:rsid w:val="004D30A6"/>
    <w:rsid w:val="004D6BBF"/>
    <w:rsid w:val="004F4F98"/>
    <w:rsid w:val="004F5B70"/>
    <w:rsid w:val="004F69F6"/>
    <w:rsid w:val="004F79AC"/>
    <w:rsid w:val="005017CF"/>
    <w:rsid w:val="00512290"/>
    <w:rsid w:val="005207D8"/>
    <w:rsid w:val="00521F70"/>
    <w:rsid w:val="0052649E"/>
    <w:rsid w:val="0053464E"/>
    <w:rsid w:val="005358B0"/>
    <w:rsid w:val="00543939"/>
    <w:rsid w:val="0055226B"/>
    <w:rsid w:val="00553969"/>
    <w:rsid w:val="00561B28"/>
    <w:rsid w:val="00562917"/>
    <w:rsid w:val="00586228"/>
    <w:rsid w:val="0058752A"/>
    <w:rsid w:val="0059227F"/>
    <w:rsid w:val="0059498B"/>
    <w:rsid w:val="005A3A03"/>
    <w:rsid w:val="005B01E7"/>
    <w:rsid w:val="005B3AFC"/>
    <w:rsid w:val="005B615C"/>
    <w:rsid w:val="005B6AF4"/>
    <w:rsid w:val="005C04CB"/>
    <w:rsid w:val="005C0DA8"/>
    <w:rsid w:val="005C71BA"/>
    <w:rsid w:val="005D16AD"/>
    <w:rsid w:val="005D6250"/>
    <w:rsid w:val="005D72E1"/>
    <w:rsid w:val="005E26A4"/>
    <w:rsid w:val="005E2F53"/>
    <w:rsid w:val="005E6E16"/>
    <w:rsid w:val="005E6F40"/>
    <w:rsid w:val="005F400E"/>
    <w:rsid w:val="005F7342"/>
    <w:rsid w:val="00603A08"/>
    <w:rsid w:val="006066BC"/>
    <w:rsid w:val="00606C88"/>
    <w:rsid w:val="00610A3C"/>
    <w:rsid w:val="006211CD"/>
    <w:rsid w:val="00627F48"/>
    <w:rsid w:val="00633ACA"/>
    <w:rsid w:val="006342E0"/>
    <w:rsid w:val="00642A47"/>
    <w:rsid w:val="00646FDD"/>
    <w:rsid w:val="00663FCF"/>
    <w:rsid w:val="00664208"/>
    <w:rsid w:val="006650D1"/>
    <w:rsid w:val="006652A2"/>
    <w:rsid w:val="00681754"/>
    <w:rsid w:val="00681D53"/>
    <w:rsid w:val="00683E69"/>
    <w:rsid w:val="00685269"/>
    <w:rsid w:val="006937FF"/>
    <w:rsid w:val="006965BF"/>
    <w:rsid w:val="006A48A7"/>
    <w:rsid w:val="006B4936"/>
    <w:rsid w:val="006B4BA1"/>
    <w:rsid w:val="006C28E2"/>
    <w:rsid w:val="006C5CF5"/>
    <w:rsid w:val="006E527D"/>
    <w:rsid w:val="006F17A0"/>
    <w:rsid w:val="006F4A82"/>
    <w:rsid w:val="00700239"/>
    <w:rsid w:val="0070373B"/>
    <w:rsid w:val="00707E72"/>
    <w:rsid w:val="007113EB"/>
    <w:rsid w:val="0072095E"/>
    <w:rsid w:val="007210AB"/>
    <w:rsid w:val="0072150F"/>
    <w:rsid w:val="00722D3A"/>
    <w:rsid w:val="00723F11"/>
    <w:rsid w:val="00724FA4"/>
    <w:rsid w:val="00726C2F"/>
    <w:rsid w:val="00730800"/>
    <w:rsid w:val="007368AB"/>
    <w:rsid w:val="00737902"/>
    <w:rsid w:val="00741EFE"/>
    <w:rsid w:val="007602AA"/>
    <w:rsid w:val="00763CC3"/>
    <w:rsid w:val="007652EF"/>
    <w:rsid w:val="00772BDC"/>
    <w:rsid w:val="00773033"/>
    <w:rsid w:val="00780792"/>
    <w:rsid w:val="00781995"/>
    <w:rsid w:val="007A44B4"/>
    <w:rsid w:val="007A7D3D"/>
    <w:rsid w:val="007B225D"/>
    <w:rsid w:val="007C174F"/>
    <w:rsid w:val="007C1C64"/>
    <w:rsid w:val="007D40A1"/>
    <w:rsid w:val="007D57F0"/>
    <w:rsid w:val="007D7B06"/>
    <w:rsid w:val="007E48BC"/>
    <w:rsid w:val="007E79F7"/>
    <w:rsid w:val="007F3630"/>
    <w:rsid w:val="00801000"/>
    <w:rsid w:val="00806ECC"/>
    <w:rsid w:val="00807559"/>
    <w:rsid w:val="00816719"/>
    <w:rsid w:val="0083774D"/>
    <w:rsid w:val="008450BC"/>
    <w:rsid w:val="00846174"/>
    <w:rsid w:val="00851A60"/>
    <w:rsid w:val="00853037"/>
    <w:rsid w:val="0085334B"/>
    <w:rsid w:val="00867B23"/>
    <w:rsid w:val="00870214"/>
    <w:rsid w:val="00876515"/>
    <w:rsid w:val="008828D9"/>
    <w:rsid w:val="00885C51"/>
    <w:rsid w:val="00885EB0"/>
    <w:rsid w:val="0089264A"/>
    <w:rsid w:val="00895776"/>
    <w:rsid w:val="00896B85"/>
    <w:rsid w:val="00897554"/>
    <w:rsid w:val="008A22BE"/>
    <w:rsid w:val="008A3221"/>
    <w:rsid w:val="008A35FB"/>
    <w:rsid w:val="008B0075"/>
    <w:rsid w:val="008B5567"/>
    <w:rsid w:val="008C0E7A"/>
    <w:rsid w:val="008C1B36"/>
    <w:rsid w:val="008D06C6"/>
    <w:rsid w:val="008E6250"/>
    <w:rsid w:val="00901EF6"/>
    <w:rsid w:val="00902AF6"/>
    <w:rsid w:val="009107CB"/>
    <w:rsid w:val="00914030"/>
    <w:rsid w:val="00920249"/>
    <w:rsid w:val="00924C80"/>
    <w:rsid w:val="00932F14"/>
    <w:rsid w:val="0094247F"/>
    <w:rsid w:val="00942D60"/>
    <w:rsid w:val="00944BA4"/>
    <w:rsid w:val="00952577"/>
    <w:rsid w:val="009572C0"/>
    <w:rsid w:val="0096523B"/>
    <w:rsid w:val="00966EE3"/>
    <w:rsid w:val="00972D06"/>
    <w:rsid w:val="009874AD"/>
    <w:rsid w:val="009A14CB"/>
    <w:rsid w:val="009A391C"/>
    <w:rsid w:val="009A50F2"/>
    <w:rsid w:val="009A5F5B"/>
    <w:rsid w:val="009B187A"/>
    <w:rsid w:val="009C4322"/>
    <w:rsid w:val="009C74B5"/>
    <w:rsid w:val="009D790B"/>
    <w:rsid w:val="009E0A61"/>
    <w:rsid w:val="009E3010"/>
    <w:rsid w:val="009F007E"/>
    <w:rsid w:val="009F1BCF"/>
    <w:rsid w:val="009F7065"/>
    <w:rsid w:val="00A12B44"/>
    <w:rsid w:val="00A40193"/>
    <w:rsid w:val="00A4175D"/>
    <w:rsid w:val="00A54934"/>
    <w:rsid w:val="00A56DC7"/>
    <w:rsid w:val="00A56E34"/>
    <w:rsid w:val="00A65EA3"/>
    <w:rsid w:val="00A74FD1"/>
    <w:rsid w:val="00A84A58"/>
    <w:rsid w:val="00A91DF1"/>
    <w:rsid w:val="00AB0275"/>
    <w:rsid w:val="00AB66E4"/>
    <w:rsid w:val="00AC5CB9"/>
    <w:rsid w:val="00AC74CB"/>
    <w:rsid w:val="00AD22F9"/>
    <w:rsid w:val="00AD4249"/>
    <w:rsid w:val="00AD6580"/>
    <w:rsid w:val="00AD7A3D"/>
    <w:rsid w:val="00AE4E6E"/>
    <w:rsid w:val="00AE6553"/>
    <w:rsid w:val="00AE766D"/>
    <w:rsid w:val="00AF06FC"/>
    <w:rsid w:val="00AF3391"/>
    <w:rsid w:val="00AF387F"/>
    <w:rsid w:val="00AF602C"/>
    <w:rsid w:val="00B00E7F"/>
    <w:rsid w:val="00B16724"/>
    <w:rsid w:val="00B173DA"/>
    <w:rsid w:val="00B21DCC"/>
    <w:rsid w:val="00B25F37"/>
    <w:rsid w:val="00B26C52"/>
    <w:rsid w:val="00B402AA"/>
    <w:rsid w:val="00B44422"/>
    <w:rsid w:val="00B46EA0"/>
    <w:rsid w:val="00B51E03"/>
    <w:rsid w:val="00B57A02"/>
    <w:rsid w:val="00B621BE"/>
    <w:rsid w:val="00B65710"/>
    <w:rsid w:val="00B71F51"/>
    <w:rsid w:val="00B731D3"/>
    <w:rsid w:val="00B839A3"/>
    <w:rsid w:val="00B853D2"/>
    <w:rsid w:val="00B902BD"/>
    <w:rsid w:val="00B90316"/>
    <w:rsid w:val="00B9694C"/>
    <w:rsid w:val="00BA24E2"/>
    <w:rsid w:val="00BA4F6E"/>
    <w:rsid w:val="00BB5930"/>
    <w:rsid w:val="00BD2A39"/>
    <w:rsid w:val="00BD2E80"/>
    <w:rsid w:val="00BE11B8"/>
    <w:rsid w:val="00BE3818"/>
    <w:rsid w:val="00BF7FF0"/>
    <w:rsid w:val="00C05A9F"/>
    <w:rsid w:val="00C12502"/>
    <w:rsid w:val="00C1266C"/>
    <w:rsid w:val="00C14FD2"/>
    <w:rsid w:val="00C36578"/>
    <w:rsid w:val="00C40AA5"/>
    <w:rsid w:val="00C46F70"/>
    <w:rsid w:val="00C476D0"/>
    <w:rsid w:val="00C536B9"/>
    <w:rsid w:val="00C56F71"/>
    <w:rsid w:val="00C63580"/>
    <w:rsid w:val="00C729C7"/>
    <w:rsid w:val="00C7339F"/>
    <w:rsid w:val="00C82281"/>
    <w:rsid w:val="00C836E3"/>
    <w:rsid w:val="00C86577"/>
    <w:rsid w:val="00C92E07"/>
    <w:rsid w:val="00C94942"/>
    <w:rsid w:val="00C95A55"/>
    <w:rsid w:val="00C96868"/>
    <w:rsid w:val="00C96A50"/>
    <w:rsid w:val="00CA0416"/>
    <w:rsid w:val="00CA3C65"/>
    <w:rsid w:val="00CA7F35"/>
    <w:rsid w:val="00CB1375"/>
    <w:rsid w:val="00CC1376"/>
    <w:rsid w:val="00CC36E7"/>
    <w:rsid w:val="00CC560B"/>
    <w:rsid w:val="00CC75E2"/>
    <w:rsid w:val="00CD46EB"/>
    <w:rsid w:val="00CD7EBF"/>
    <w:rsid w:val="00CE0AEB"/>
    <w:rsid w:val="00CE25C8"/>
    <w:rsid w:val="00CE2CE0"/>
    <w:rsid w:val="00D04529"/>
    <w:rsid w:val="00D056F1"/>
    <w:rsid w:val="00D062E4"/>
    <w:rsid w:val="00D11171"/>
    <w:rsid w:val="00D14405"/>
    <w:rsid w:val="00D2071E"/>
    <w:rsid w:val="00D209C9"/>
    <w:rsid w:val="00D224A7"/>
    <w:rsid w:val="00D22F3C"/>
    <w:rsid w:val="00D23DB6"/>
    <w:rsid w:val="00D26814"/>
    <w:rsid w:val="00D3171B"/>
    <w:rsid w:val="00D33F56"/>
    <w:rsid w:val="00D43FE6"/>
    <w:rsid w:val="00D51A95"/>
    <w:rsid w:val="00D60568"/>
    <w:rsid w:val="00D676CF"/>
    <w:rsid w:val="00D70C7A"/>
    <w:rsid w:val="00D73931"/>
    <w:rsid w:val="00D81D38"/>
    <w:rsid w:val="00D8470F"/>
    <w:rsid w:val="00D8471A"/>
    <w:rsid w:val="00D866FE"/>
    <w:rsid w:val="00D92192"/>
    <w:rsid w:val="00D952E9"/>
    <w:rsid w:val="00DA10A8"/>
    <w:rsid w:val="00DA1ABB"/>
    <w:rsid w:val="00DA71C0"/>
    <w:rsid w:val="00DB1E08"/>
    <w:rsid w:val="00DB2973"/>
    <w:rsid w:val="00DB324A"/>
    <w:rsid w:val="00DB5171"/>
    <w:rsid w:val="00DB5E99"/>
    <w:rsid w:val="00DB7A08"/>
    <w:rsid w:val="00DC1B56"/>
    <w:rsid w:val="00DC2129"/>
    <w:rsid w:val="00DC3C72"/>
    <w:rsid w:val="00DC6570"/>
    <w:rsid w:val="00DD3C5E"/>
    <w:rsid w:val="00DE79D9"/>
    <w:rsid w:val="00DF25C3"/>
    <w:rsid w:val="00DF521C"/>
    <w:rsid w:val="00DF7A58"/>
    <w:rsid w:val="00E04062"/>
    <w:rsid w:val="00E043DA"/>
    <w:rsid w:val="00E063C6"/>
    <w:rsid w:val="00E2003B"/>
    <w:rsid w:val="00E203C2"/>
    <w:rsid w:val="00E24DE8"/>
    <w:rsid w:val="00E279D8"/>
    <w:rsid w:val="00E319B1"/>
    <w:rsid w:val="00E349B8"/>
    <w:rsid w:val="00E40ED4"/>
    <w:rsid w:val="00E44E0D"/>
    <w:rsid w:val="00E520FE"/>
    <w:rsid w:val="00E5492F"/>
    <w:rsid w:val="00E62DEF"/>
    <w:rsid w:val="00E66D32"/>
    <w:rsid w:val="00E70A86"/>
    <w:rsid w:val="00E723E2"/>
    <w:rsid w:val="00E75054"/>
    <w:rsid w:val="00E751D6"/>
    <w:rsid w:val="00E777EC"/>
    <w:rsid w:val="00E80FCD"/>
    <w:rsid w:val="00E81F6E"/>
    <w:rsid w:val="00EA7F2F"/>
    <w:rsid w:val="00EC00DE"/>
    <w:rsid w:val="00EC30E1"/>
    <w:rsid w:val="00ED172A"/>
    <w:rsid w:val="00EE0A23"/>
    <w:rsid w:val="00EF55C8"/>
    <w:rsid w:val="00F0750B"/>
    <w:rsid w:val="00F14BEC"/>
    <w:rsid w:val="00F225C5"/>
    <w:rsid w:val="00F2587A"/>
    <w:rsid w:val="00F33BB8"/>
    <w:rsid w:val="00F367E7"/>
    <w:rsid w:val="00F3715D"/>
    <w:rsid w:val="00F420C8"/>
    <w:rsid w:val="00F42937"/>
    <w:rsid w:val="00F42A4C"/>
    <w:rsid w:val="00F53B04"/>
    <w:rsid w:val="00F604DE"/>
    <w:rsid w:val="00F64653"/>
    <w:rsid w:val="00F73C00"/>
    <w:rsid w:val="00F92793"/>
    <w:rsid w:val="00FB1533"/>
    <w:rsid w:val="00FB4636"/>
    <w:rsid w:val="00FB67A3"/>
    <w:rsid w:val="00FB7512"/>
    <w:rsid w:val="00FC29BE"/>
    <w:rsid w:val="00FC2DE4"/>
    <w:rsid w:val="00FC628D"/>
    <w:rsid w:val="00FD2FBE"/>
    <w:rsid w:val="00FD7547"/>
    <w:rsid w:val="00FD7B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8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page number" w:lock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7D7B06"/>
    <w:pPr>
      <w:widowControl/>
      <w:numPr>
        <w:numId w:val="2"/>
      </w:numPr>
      <w:ind w:left="567" w:hanging="567"/>
    </w:pPr>
    <w:rPr>
      <w:rFonts w:cs="Arial"/>
      <w:lang w:bidi="ar-SA"/>
    </w:rPr>
  </w:style>
  <w:style w:type="character" w:customStyle="1" w:styleId="FSBullet1Char">
    <w:name w:val="FSBullet 1 Char"/>
    <w:link w:val="FSBullet1"/>
    <w:uiPriority w:val="6"/>
    <w:rsid w:val="007D7B06"/>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2D6DF0"/>
    <w:rPr>
      <w:sz w:val="20"/>
      <w:szCs w:val="20"/>
    </w:rPr>
  </w:style>
  <w:style w:type="character" w:customStyle="1" w:styleId="FootnoteTextChar">
    <w:name w:val="Footnote Text Char"/>
    <w:aliases w:val="Footnotes Text Char,FSFootnotes Text Char,FSFootnote Text Char"/>
    <w:basedOn w:val="DefaultParagraphFont"/>
    <w:link w:val="FootnoteText"/>
    <w:rsid w:val="002D6DF0"/>
    <w:rPr>
      <w:rFonts w:ascii="Arial" w:hAnsi="Arial"/>
      <w:lang w:eastAsia="en-US" w:bidi="en-US"/>
    </w:rPr>
  </w:style>
  <w:style w:type="paragraph" w:styleId="ListParagraph">
    <w:name w:val="List Paragraph"/>
    <w:basedOn w:val="Normal"/>
    <w:uiPriority w:val="34"/>
    <w:rsid w:val="002B1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page number" w:lock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7D7B06"/>
    <w:pPr>
      <w:widowControl/>
      <w:numPr>
        <w:numId w:val="2"/>
      </w:numPr>
      <w:ind w:left="567" w:hanging="567"/>
    </w:pPr>
    <w:rPr>
      <w:rFonts w:cs="Arial"/>
      <w:lang w:bidi="ar-SA"/>
    </w:rPr>
  </w:style>
  <w:style w:type="character" w:customStyle="1" w:styleId="FSBullet1Char">
    <w:name w:val="FSBullet 1 Char"/>
    <w:link w:val="FSBullet1"/>
    <w:uiPriority w:val="6"/>
    <w:rsid w:val="007D7B06"/>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2D6DF0"/>
    <w:rPr>
      <w:sz w:val="20"/>
      <w:szCs w:val="20"/>
    </w:rPr>
  </w:style>
  <w:style w:type="character" w:customStyle="1" w:styleId="FootnoteTextChar">
    <w:name w:val="Footnote Text Char"/>
    <w:aliases w:val="Footnotes Text Char,FSFootnotes Text Char,FSFootnote Text Char"/>
    <w:basedOn w:val="DefaultParagraphFont"/>
    <w:link w:val="FootnoteText"/>
    <w:rsid w:val="002D6DF0"/>
    <w:rPr>
      <w:rFonts w:ascii="Arial" w:hAnsi="Arial"/>
      <w:lang w:eastAsia="en-US" w:bidi="en-US"/>
    </w:rPr>
  </w:style>
  <w:style w:type="paragraph" w:styleId="ListParagraph">
    <w:name w:val="List Paragraph"/>
    <w:basedOn w:val="Normal"/>
    <w:uiPriority w:val="34"/>
    <w:rsid w:val="002B1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031565480">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oodstandards.gov.au/code/applications/Pages/A1128GMPotatoE12.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oodstandards.gov.au/publications/Pages/Safety-Assessment-of-Genetically-Modified-Foods-Guidance-Document-.aspx" TargetMode="External"/><Relationship Id="rId28" Type="http://schemas.openxmlformats.org/officeDocument/2006/relationships/customXml" Target="../customXml/item3.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codexalimentarius.net/web/standard_list.do?lang=en"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FFF757-22CD-4FBA-8993-462AA35FE43C}"/>
</file>

<file path=customXml/itemProps2.xml><?xml version="1.0" encoding="utf-8"?>
<ds:datastoreItem xmlns:ds="http://schemas.openxmlformats.org/officeDocument/2006/customXml" ds:itemID="{52E96593-3BDD-4469-B220-D714D1145CE2}"/>
</file>

<file path=customXml/itemProps3.xml><?xml version="1.0" encoding="utf-8"?>
<ds:datastoreItem xmlns:ds="http://schemas.openxmlformats.org/officeDocument/2006/customXml" ds:itemID="{80A49EE5-E67A-43EA-809B-BB800410E039}"/>
</file>

<file path=customXml/itemProps4.xml><?xml version="1.0" encoding="utf-8"?>
<ds:datastoreItem xmlns:ds="http://schemas.openxmlformats.org/officeDocument/2006/customXml" ds:itemID="{AD40F1CE-29EE-4462-AF30-6B1CEC58DAC1}"/>
</file>

<file path=docProps/app.xml><?xml version="1.0" encoding="utf-8"?>
<Properties xmlns="http://schemas.openxmlformats.org/officeDocument/2006/extended-properties" xmlns:vt="http://schemas.openxmlformats.org/officeDocument/2006/docPropsVTypes">
  <Template>Normal</Template>
  <TotalTime>0</TotalTime>
  <Pages>14</Pages>
  <Words>4986</Words>
  <Characters>28425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A1128 GM potato E12 CFS</dc:title>
  <dc:creator/>
  <cp:keywords/>
  <cp:lastModifiedBy/>
  <cp:revision>1</cp:revision>
  <dcterms:created xsi:type="dcterms:W3CDTF">2016-08-16T04:06:00Z</dcterms:created>
  <dcterms:modified xsi:type="dcterms:W3CDTF">2016-08-16T04:06:00Z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